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48D4B" w14:textId="77777777" w:rsidR="003C643D" w:rsidRPr="0015498A" w:rsidRDefault="00FF5FE3" w:rsidP="003C643D">
      <w:pPr>
        <w:jc w:val="both"/>
        <w:rPr>
          <w:rFonts w:cstheme="minorHAnsi"/>
          <w:b/>
          <w:sz w:val="28"/>
        </w:rPr>
      </w:pPr>
      <w:bookmarkStart w:id="0" w:name="Abdominal"/>
      <w:r w:rsidRPr="0015498A">
        <w:rPr>
          <w:rFonts w:cstheme="minorHAnsi"/>
          <w:b/>
          <w:sz w:val="28"/>
        </w:rPr>
        <w:t>8</w:t>
      </w:r>
      <w:r w:rsidR="003C643D" w:rsidRPr="0015498A">
        <w:rPr>
          <w:rFonts w:cstheme="minorHAnsi"/>
          <w:b/>
          <w:sz w:val="28"/>
        </w:rPr>
        <w:t>. Abdominal injuries</w:t>
      </w:r>
    </w:p>
    <w:bookmarkEnd w:id="0"/>
    <w:p w14:paraId="484D600B" w14:textId="77777777" w:rsidR="004568CA" w:rsidRDefault="004568CA" w:rsidP="003C643D">
      <w:pPr>
        <w:jc w:val="both"/>
        <w:rPr>
          <w:rFonts w:cstheme="minorHAnsi"/>
          <w:b/>
        </w:rPr>
      </w:pPr>
    </w:p>
    <w:p w14:paraId="5B6A721E" w14:textId="77777777" w:rsidR="00AB3832" w:rsidRPr="00BE7EF3" w:rsidRDefault="00AB3832" w:rsidP="00AB3832">
      <w:pPr>
        <w:spacing w:after="160" w:line="360" w:lineRule="auto"/>
        <w:contextualSpacing/>
        <w:jc w:val="both"/>
        <w:rPr>
          <w:rFonts w:eastAsia="Calibri" w:cstheme="minorHAnsi"/>
          <w:sz w:val="24"/>
          <w:lang w:val="en-US"/>
        </w:rPr>
      </w:pPr>
      <w:bookmarkStart w:id="1" w:name="Pelvis"/>
      <w:r w:rsidRPr="00BE7EF3">
        <w:rPr>
          <w:rFonts w:eastAsia="Calibri" w:cstheme="minorHAnsi"/>
          <w:sz w:val="24"/>
          <w:lang w:val="en-US"/>
        </w:rPr>
        <w:t>Abdominal injuries often co-exist with chest and pelvic injuries.</w:t>
      </w:r>
    </w:p>
    <w:p w14:paraId="1DA8C6DC" w14:textId="77777777" w:rsidR="00AB3832" w:rsidRPr="00BE7EF3" w:rsidRDefault="00AB3832" w:rsidP="00AB3832">
      <w:pPr>
        <w:spacing w:after="160" w:line="360" w:lineRule="auto"/>
        <w:contextualSpacing/>
        <w:jc w:val="both"/>
        <w:rPr>
          <w:rFonts w:cstheme="minorHAnsi"/>
          <w:sz w:val="24"/>
        </w:rPr>
      </w:pPr>
      <w:r w:rsidRPr="00BE7EF3">
        <w:rPr>
          <w:rFonts w:eastAsia="Calibri" w:cstheme="minorHAnsi"/>
          <w:sz w:val="24"/>
          <w:lang w:val="en-US"/>
        </w:rPr>
        <w:t xml:space="preserve">More children in Yorkshire &amp; Humber suffer blunt force trauma through motor vehicle collisions, falls and assaults, than penetrating trauma. </w:t>
      </w:r>
      <w:r w:rsidRPr="00BE7EF3">
        <w:rPr>
          <w:rFonts w:cstheme="minorHAnsi"/>
          <w:sz w:val="24"/>
        </w:rPr>
        <w:t xml:space="preserve">The management guidance differs between blunt and penetrating mechanisms of injury, so these will be considered separately. </w:t>
      </w:r>
    </w:p>
    <w:p w14:paraId="6EE1B737" w14:textId="77777777" w:rsidR="00AB3832" w:rsidRPr="00EF5857" w:rsidRDefault="00AB3832" w:rsidP="00AB3832">
      <w:pPr>
        <w:spacing w:after="160" w:line="360" w:lineRule="auto"/>
        <w:contextualSpacing/>
        <w:jc w:val="both"/>
        <w:rPr>
          <w:rFonts w:cstheme="minorHAnsi"/>
        </w:rPr>
      </w:pPr>
    </w:p>
    <w:p w14:paraId="643EBC41" w14:textId="77777777" w:rsidR="00AB3832" w:rsidRPr="00364BE1" w:rsidRDefault="00AB3832" w:rsidP="00AB3832">
      <w:pPr>
        <w:spacing w:after="160" w:line="360" w:lineRule="auto"/>
        <w:contextualSpacing/>
        <w:jc w:val="both"/>
        <w:rPr>
          <w:rFonts w:eastAsia="Calibri" w:cstheme="minorHAnsi"/>
          <w:b/>
          <w:sz w:val="28"/>
          <w:lang w:val="en-US"/>
        </w:rPr>
      </w:pPr>
      <w:r w:rsidRPr="00364BE1">
        <w:rPr>
          <w:rFonts w:eastAsia="Calibri" w:cstheme="minorHAnsi"/>
          <w:b/>
          <w:sz w:val="28"/>
          <w:lang w:val="en-US"/>
        </w:rPr>
        <w:t>Blunt Injury</w:t>
      </w:r>
    </w:p>
    <w:p w14:paraId="55C8EC71" w14:textId="77777777" w:rsidR="00EF1112" w:rsidRDefault="00EF1112" w:rsidP="00AB3832">
      <w:pPr>
        <w:spacing w:after="160" w:line="360" w:lineRule="auto"/>
        <w:contextualSpacing/>
        <w:jc w:val="both"/>
        <w:rPr>
          <w:rFonts w:eastAsia="Calibri" w:cstheme="minorHAnsi"/>
          <w:b/>
          <w:color w:val="2309BF"/>
          <w:lang w:val="en-US"/>
        </w:rPr>
      </w:pPr>
    </w:p>
    <w:p w14:paraId="18239B4C" w14:textId="77777777" w:rsidR="00EF1112" w:rsidRPr="00BE7EF3" w:rsidRDefault="00AB3832" w:rsidP="00AB3832">
      <w:pPr>
        <w:spacing w:after="160" w:line="360" w:lineRule="auto"/>
        <w:contextualSpacing/>
        <w:jc w:val="both"/>
        <w:rPr>
          <w:rFonts w:eastAsia="Calibri" w:cstheme="minorHAnsi"/>
          <w:b/>
          <w:color w:val="2309BF"/>
          <w:sz w:val="24"/>
          <w:lang w:val="en-US"/>
        </w:rPr>
      </w:pPr>
      <w:r w:rsidRPr="00BE7EF3">
        <w:rPr>
          <w:rFonts w:eastAsia="Calibri" w:cstheme="minorHAnsi"/>
          <w:b/>
          <w:color w:val="2309BF"/>
          <w:sz w:val="24"/>
          <w:lang w:val="en-US"/>
        </w:rPr>
        <w:t>Clinical assessment</w:t>
      </w:r>
    </w:p>
    <w:p w14:paraId="290969D5" w14:textId="77777777" w:rsidR="00AB3832" w:rsidRPr="00BE7EF3" w:rsidRDefault="00AB3832" w:rsidP="00AB3832">
      <w:pPr>
        <w:numPr>
          <w:ilvl w:val="0"/>
          <w:numId w:val="87"/>
        </w:numPr>
        <w:spacing w:after="160" w:line="360" w:lineRule="auto"/>
        <w:contextualSpacing/>
        <w:jc w:val="both"/>
        <w:rPr>
          <w:rFonts w:eastAsia="Calibri" w:cstheme="minorHAnsi"/>
          <w:b/>
          <w:sz w:val="24"/>
          <w:lang w:val="en-US"/>
        </w:rPr>
      </w:pPr>
      <w:r w:rsidRPr="00BE7EF3">
        <w:rPr>
          <w:rFonts w:eastAsia="Calibri" w:cstheme="minorHAnsi"/>
          <w:sz w:val="24"/>
          <w:lang w:val="en-US"/>
        </w:rPr>
        <w:t>The patient will be assessed by the trauma team in line with Trauma Management principles.  Abdominal examination should be included within “C” as a potential site of bleeding.  Patients in shock and suspected to have intra-abdominal injury (including at time of pre-alert) need immediate</w:t>
      </w:r>
      <w:r w:rsidRPr="00BE7EF3">
        <w:rPr>
          <w:rFonts w:cstheme="minorHAnsi"/>
          <w:sz w:val="24"/>
        </w:rPr>
        <w:t xml:space="preserve"> transfer to the Paediatric MTC. </w:t>
      </w:r>
      <w:r w:rsidRPr="00BE7EF3">
        <w:rPr>
          <w:rFonts w:cstheme="minorHAnsi"/>
          <w:b/>
          <w:sz w:val="24"/>
        </w:rPr>
        <w:t>This should be ED to ED and does not need discussion with specialities within the MTC as automatic acceptance is Network standard.</w:t>
      </w:r>
      <w:r w:rsidRPr="00BE7EF3">
        <w:rPr>
          <w:rFonts w:eastAsia="Calibri" w:cstheme="minorHAnsi"/>
          <w:b/>
          <w:sz w:val="24"/>
          <w:lang w:val="en-US"/>
        </w:rPr>
        <w:t xml:space="preserve"> </w:t>
      </w:r>
    </w:p>
    <w:p w14:paraId="692DE532" w14:textId="77777777" w:rsidR="00AB3832" w:rsidRPr="00BE7EF3" w:rsidRDefault="00AB3832" w:rsidP="00AB3832">
      <w:pPr>
        <w:numPr>
          <w:ilvl w:val="0"/>
          <w:numId w:val="87"/>
        </w:numPr>
        <w:spacing w:after="160" w:line="360" w:lineRule="auto"/>
        <w:contextualSpacing/>
        <w:jc w:val="both"/>
        <w:rPr>
          <w:rFonts w:eastAsia="Calibri" w:cstheme="minorHAnsi"/>
          <w:sz w:val="24"/>
          <w:lang w:val="en-US"/>
        </w:rPr>
      </w:pPr>
      <w:r w:rsidRPr="00BE7EF3">
        <w:rPr>
          <w:rFonts w:eastAsia="Calibri" w:cstheme="minorHAnsi"/>
          <w:sz w:val="24"/>
          <w:lang w:val="en-US"/>
        </w:rPr>
        <w:t xml:space="preserve">Any patients not meeting criteria for immediate transfer should be discussed early with: </w:t>
      </w:r>
    </w:p>
    <w:p w14:paraId="20BEA0AF" w14:textId="77777777" w:rsidR="00AB3832" w:rsidRPr="00BE7EF3" w:rsidRDefault="00AB3832" w:rsidP="00AB3832">
      <w:pPr>
        <w:numPr>
          <w:ilvl w:val="1"/>
          <w:numId w:val="87"/>
        </w:numPr>
        <w:spacing w:after="160" w:line="360" w:lineRule="auto"/>
        <w:contextualSpacing/>
        <w:jc w:val="both"/>
        <w:rPr>
          <w:rFonts w:eastAsia="Calibri" w:cstheme="minorHAnsi"/>
          <w:sz w:val="24"/>
          <w:lang w:val="en-US"/>
        </w:rPr>
      </w:pPr>
      <w:r w:rsidRPr="00BE7EF3">
        <w:rPr>
          <w:rFonts w:eastAsia="Calibri" w:cstheme="minorHAnsi"/>
          <w:sz w:val="24"/>
          <w:lang w:val="en-US"/>
        </w:rPr>
        <w:t>MTC: the on call Paediatric Surgical Consultant or Middle Grade. Alert the interventional radiologist on-call where appropriate.</w:t>
      </w:r>
    </w:p>
    <w:p w14:paraId="4C27142B" w14:textId="77777777" w:rsidR="00AB3832" w:rsidRPr="00BE7EF3" w:rsidRDefault="00AB3832" w:rsidP="00AB3832">
      <w:pPr>
        <w:numPr>
          <w:ilvl w:val="1"/>
          <w:numId w:val="87"/>
        </w:numPr>
        <w:spacing w:after="160" w:line="360" w:lineRule="auto"/>
        <w:contextualSpacing/>
        <w:jc w:val="both"/>
        <w:rPr>
          <w:rFonts w:eastAsia="Calibri" w:cstheme="minorHAnsi"/>
          <w:sz w:val="24"/>
          <w:lang w:val="en-US"/>
        </w:rPr>
      </w:pPr>
      <w:r w:rsidRPr="00BE7EF3">
        <w:rPr>
          <w:rFonts w:eastAsia="Calibri" w:cstheme="minorHAnsi"/>
          <w:sz w:val="24"/>
          <w:lang w:val="en-US"/>
        </w:rPr>
        <w:t>TU: the on call General Surgical Consultant.</w:t>
      </w:r>
    </w:p>
    <w:p w14:paraId="123D911D" w14:textId="77777777" w:rsidR="00AB3832" w:rsidRPr="00BE7EF3" w:rsidRDefault="00AB3832" w:rsidP="00AB3832">
      <w:pPr>
        <w:numPr>
          <w:ilvl w:val="0"/>
          <w:numId w:val="87"/>
        </w:numPr>
        <w:spacing w:after="160" w:line="360" w:lineRule="auto"/>
        <w:contextualSpacing/>
        <w:jc w:val="both"/>
        <w:rPr>
          <w:rFonts w:eastAsia="Calibri" w:cstheme="minorHAnsi"/>
          <w:sz w:val="24"/>
          <w:lang w:val="en-US"/>
        </w:rPr>
      </w:pPr>
      <w:r w:rsidRPr="00BE7EF3">
        <w:rPr>
          <w:rFonts w:eastAsia="Calibri" w:cstheme="minorHAnsi"/>
          <w:sz w:val="24"/>
          <w:lang w:val="en-US"/>
        </w:rPr>
        <w:t xml:space="preserve">Ensure O Negative blood will be available and warn that the Massive </w:t>
      </w:r>
      <w:proofErr w:type="spellStart"/>
      <w:r w:rsidRPr="00BE7EF3">
        <w:rPr>
          <w:rFonts w:eastAsia="Calibri" w:cstheme="minorHAnsi"/>
          <w:sz w:val="24"/>
          <w:lang w:val="en-US"/>
        </w:rPr>
        <w:t>Haemorrhage</w:t>
      </w:r>
      <w:proofErr w:type="spellEnd"/>
      <w:r w:rsidRPr="00BE7EF3">
        <w:rPr>
          <w:rFonts w:eastAsia="Calibri" w:cstheme="minorHAnsi"/>
          <w:sz w:val="24"/>
          <w:lang w:val="en-US"/>
        </w:rPr>
        <w:t xml:space="preserve"> Protocol may be activated</w:t>
      </w:r>
      <w:r w:rsidR="001A235D">
        <w:rPr>
          <w:rFonts w:eastAsia="Calibri" w:cstheme="minorHAnsi"/>
          <w:sz w:val="24"/>
          <w:lang w:val="en-US"/>
        </w:rPr>
        <w:t xml:space="preserve"> (</w:t>
      </w:r>
      <w:hyperlink w:anchor="Haemorrhage" w:history="1">
        <w:r w:rsidR="001A235D" w:rsidRPr="001A235D">
          <w:rPr>
            <w:rStyle w:val="Hyperlink"/>
            <w:rFonts w:eastAsia="Calibri" w:cstheme="minorHAnsi"/>
            <w:sz w:val="24"/>
            <w:lang w:val="en-US"/>
          </w:rPr>
          <w:t>Section 5</w:t>
        </w:r>
      </w:hyperlink>
      <w:r w:rsidR="001A235D">
        <w:rPr>
          <w:rFonts w:eastAsia="Calibri" w:cstheme="minorHAnsi"/>
          <w:sz w:val="24"/>
          <w:lang w:val="en-US"/>
        </w:rPr>
        <w:t>).</w:t>
      </w:r>
      <w:r w:rsidR="001A235D" w:rsidRPr="00BE7EF3">
        <w:rPr>
          <w:rFonts w:eastAsia="Calibri" w:cstheme="minorHAnsi"/>
          <w:sz w:val="24"/>
          <w:lang w:val="en-US"/>
        </w:rPr>
        <w:t xml:space="preserve"> </w:t>
      </w:r>
    </w:p>
    <w:p w14:paraId="5EF4B0B1" w14:textId="77777777" w:rsidR="00AB3832" w:rsidRPr="00BE7EF3" w:rsidRDefault="00AB3832" w:rsidP="00AB3832">
      <w:pPr>
        <w:numPr>
          <w:ilvl w:val="0"/>
          <w:numId w:val="87"/>
        </w:numPr>
        <w:spacing w:after="160" w:line="360" w:lineRule="auto"/>
        <w:contextualSpacing/>
        <w:jc w:val="both"/>
        <w:rPr>
          <w:rFonts w:eastAsia="Calibri" w:cstheme="minorHAnsi"/>
          <w:sz w:val="24"/>
          <w:lang w:val="en-US"/>
        </w:rPr>
      </w:pPr>
      <w:r w:rsidRPr="00BE7EF3">
        <w:rPr>
          <w:rFonts w:eastAsia="Calibri" w:cstheme="minorHAnsi"/>
          <w:b/>
          <w:sz w:val="24"/>
          <w:lang w:val="en-US"/>
        </w:rPr>
        <w:t>Inspection:</w:t>
      </w:r>
      <w:r w:rsidRPr="00BE7EF3">
        <w:rPr>
          <w:rFonts w:eastAsia="Calibri" w:cstheme="minorHAnsi"/>
          <w:sz w:val="24"/>
          <w:lang w:val="en-US"/>
        </w:rPr>
        <w:t xml:space="preserve"> </w:t>
      </w:r>
      <w:r w:rsidRPr="00BE7EF3">
        <w:rPr>
          <w:rFonts w:cstheme="minorHAnsi"/>
          <w:sz w:val="24"/>
        </w:rPr>
        <w:t xml:space="preserve">Abdominal wall bruising is highly indicative of intra-abdominal injury. This is infrequently associated with abdominal distension. Swallowed air is the most common cause of distension - insert a gastric tube. </w:t>
      </w:r>
      <w:r w:rsidRPr="00BE7EF3">
        <w:rPr>
          <w:rFonts w:eastAsia="Calibri" w:cstheme="minorHAnsi"/>
          <w:sz w:val="24"/>
          <w:lang w:val="en-US"/>
        </w:rPr>
        <w:t xml:space="preserve">New and progressive abdominal distension in a shocked patient suggests exsanguinating intra-abdominal </w:t>
      </w:r>
      <w:proofErr w:type="spellStart"/>
      <w:r w:rsidRPr="00BE7EF3">
        <w:rPr>
          <w:rFonts w:eastAsia="Calibri" w:cstheme="minorHAnsi"/>
          <w:sz w:val="24"/>
          <w:lang w:val="en-US"/>
        </w:rPr>
        <w:t>haemorrhage</w:t>
      </w:r>
      <w:proofErr w:type="spellEnd"/>
      <w:r w:rsidRPr="00BE7EF3">
        <w:rPr>
          <w:rFonts w:eastAsia="Calibri" w:cstheme="minorHAnsi"/>
          <w:sz w:val="24"/>
          <w:lang w:val="en-US"/>
        </w:rPr>
        <w:t>.</w:t>
      </w:r>
    </w:p>
    <w:p w14:paraId="6C2B681D" w14:textId="77777777" w:rsidR="00AB3832" w:rsidRPr="00BE7EF3" w:rsidRDefault="00AB3832" w:rsidP="00AB3832">
      <w:pPr>
        <w:numPr>
          <w:ilvl w:val="0"/>
          <w:numId w:val="87"/>
        </w:numPr>
        <w:spacing w:after="160" w:line="360" w:lineRule="auto"/>
        <w:contextualSpacing/>
        <w:jc w:val="both"/>
        <w:rPr>
          <w:rFonts w:eastAsia="Calibri" w:cstheme="minorHAnsi"/>
          <w:sz w:val="24"/>
          <w:lang w:val="en-US"/>
        </w:rPr>
      </w:pPr>
      <w:r w:rsidRPr="00BE7EF3">
        <w:rPr>
          <w:rFonts w:eastAsia="Calibri" w:cstheme="minorHAnsi"/>
          <w:b/>
          <w:sz w:val="24"/>
          <w:lang w:val="en-US"/>
        </w:rPr>
        <w:t>Palpation:</w:t>
      </w:r>
      <w:r w:rsidRPr="00BE7EF3">
        <w:rPr>
          <w:rFonts w:eastAsia="Calibri" w:cstheme="minorHAnsi"/>
          <w:sz w:val="24"/>
          <w:lang w:val="en-US"/>
        </w:rPr>
        <w:t xml:space="preserve"> </w:t>
      </w:r>
      <w:r w:rsidRPr="00BE7EF3">
        <w:rPr>
          <w:rFonts w:cstheme="minorHAnsi"/>
          <w:sz w:val="24"/>
        </w:rPr>
        <w:t xml:space="preserve">Tenderness on examination should prompt further investigation but examination in a distressed child is </w:t>
      </w:r>
      <w:r w:rsidR="00404157" w:rsidRPr="00BE7EF3">
        <w:rPr>
          <w:rFonts w:cstheme="minorHAnsi"/>
          <w:sz w:val="24"/>
        </w:rPr>
        <w:t>challenging and</w:t>
      </w:r>
      <w:r w:rsidRPr="00BE7EF3">
        <w:rPr>
          <w:rFonts w:cstheme="minorHAnsi"/>
          <w:sz w:val="24"/>
        </w:rPr>
        <w:t xml:space="preserve"> may be compromised by other distracting injuries or reduced level of consciousness. Absence of clinical signs does not exclude injury.</w:t>
      </w:r>
    </w:p>
    <w:p w14:paraId="58461D5D" w14:textId="77777777" w:rsidR="00AB3832" w:rsidRPr="00BE7EF3" w:rsidRDefault="00AB3832" w:rsidP="00AB3832">
      <w:pPr>
        <w:numPr>
          <w:ilvl w:val="0"/>
          <w:numId w:val="87"/>
        </w:numPr>
        <w:spacing w:after="160" w:line="360" w:lineRule="auto"/>
        <w:ind w:left="357" w:hanging="357"/>
        <w:contextualSpacing/>
        <w:jc w:val="both"/>
        <w:rPr>
          <w:rFonts w:eastAsia="Calibri" w:cstheme="minorHAnsi"/>
          <w:sz w:val="24"/>
          <w:lang w:val="en-US"/>
        </w:rPr>
      </w:pPr>
      <w:r w:rsidRPr="00BE7EF3">
        <w:rPr>
          <w:rFonts w:eastAsia="Calibri" w:cstheme="minorHAnsi"/>
          <w:b/>
          <w:sz w:val="24"/>
          <w:lang w:val="en-US"/>
        </w:rPr>
        <w:t>Percussion and auscultation</w:t>
      </w:r>
      <w:r w:rsidRPr="00BE7EF3">
        <w:rPr>
          <w:rFonts w:eastAsia="Calibri" w:cstheme="minorHAnsi"/>
          <w:sz w:val="24"/>
          <w:lang w:val="en-US"/>
        </w:rPr>
        <w:t>: Add little to the examination.  The presence or absence of bowel sounds has no diagnostic value.</w:t>
      </w:r>
    </w:p>
    <w:p w14:paraId="14E16A4E" w14:textId="77777777" w:rsidR="00AB3832" w:rsidRPr="00BE7EF3" w:rsidRDefault="00AB3832" w:rsidP="00AB3832">
      <w:pPr>
        <w:pStyle w:val="Default"/>
        <w:numPr>
          <w:ilvl w:val="0"/>
          <w:numId w:val="87"/>
        </w:numPr>
        <w:spacing w:after="160" w:line="360" w:lineRule="auto"/>
        <w:ind w:left="357" w:hanging="357"/>
        <w:contextualSpacing/>
        <w:jc w:val="both"/>
        <w:rPr>
          <w:rFonts w:asciiTheme="minorHAnsi" w:eastAsia="Calibri" w:hAnsiTheme="minorHAnsi" w:cstheme="minorHAnsi"/>
          <w:b/>
          <w:color w:val="auto"/>
          <w:lang w:val="en-US"/>
        </w:rPr>
      </w:pPr>
      <w:r w:rsidRPr="00BE7EF3">
        <w:rPr>
          <w:rFonts w:asciiTheme="minorHAnsi" w:hAnsiTheme="minorHAnsi" w:cstheme="minorHAnsi"/>
          <w:color w:val="auto"/>
        </w:rPr>
        <w:t>Repeated clinical assessment is valuable</w:t>
      </w:r>
    </w:p>
    <w:p w14:paraId="26B7ECEF" w14:textId="77777777" w:rsidR="001A235D" w:rsidRDefault="001A235D" w:rsidP="00AB3832">
      <w:pPr>
        <w:pStyle w:val="Default"/>
        <w:spacing w:after="160" w:line="360" w:lineRule="auto"/>
        <w:contextualSpacing/>
        <w:jc w:val="both"/>
        <w:rPr>
          <w:rFonts w:asciiTheme="minorHAnsi" w:eastAsia="Calibri" w:hAnsiTheme="minorHAnsi" w:cstheme="minorHAnsi"/>
          <w:b/>
          <w:color w:val="2309BF"/>
          <w:sz w:val="28"/>
          <w:lang w:val="en-US"/>
        </w:rPr>
      </w:pPr>
    </w:p>
    <w:p w14:paraId="790941F2" w14:textId="77777777" w:rsidR="00AB3832" w:rsidRPr="00BE7EF3" w:rsidRDefault="00AB3832" w:rsidP="00AB3832">
      <w:pPr>
        <w:pStyle w:val="Default"/>
        <w:spacing w:after="160" w:line="360" w:lineRule="auto"/>
        <w:contextualSpacing/>
        <w:jc w:val="both"/>
        <w:rPr>
          <w:rFonts w:asciiTheme="minorHAnsi" w:eastAsia="Calibri" w:hAnsiTheme="minorHAnsi" w:cstheme="minorHAnsi"/>
          <w:b/>
          <w:color w:val="2309BF"/>
          <w:sz w:val="28"/>
          <w:lang w:val="en-US"/>
        </w:rPr>
      </w:pPr>
      <w:r w:rsidRPr="00BE7EF3">
        <w:rPr>
          <w:rFonts w:asciiTheme="minorHAnsi" w:eastAsia="Calibri" w:hAnsiTheme="minorHAnsi" w:cstheme="minorHAnsi"/>
          <w:b/>
          <w:color w:val="2309BF"/>
          <w:sz w:val="28"/>
          <w:lang w:val="en-US"/>
        </w:rPr>
        <w:lastRenderedPageBreak/>
        <w:t>Investigation</w:t>
      </w:r>
    </w:p>
    <w:p w14:paraId="7333D8CC" w14:textId="77777777" w:rsidR="00AB3832" w:rsidRPr="00BE7EF3" w:rsidRDefault="00AB3832" w:rsidP="00AB3832">
      <w:pPr>
        <w:numPr>
          <w:ilvl w:val="0"/>
          <w:numId w:val="88"/>
        </w:numPr>
        <w:spacing w:after="160" w:line="360" w:lineRule="auto"/>
        <w:contextualSpacing/>
        <w:jc w:val="both"/>
        <w:rPr>
          <w:rFonts w:eastAsia="Calibri" w:cstheme="minorHAnsi"/>
          <w:sz w:val="24"/>
          <w:szCs w:val="24"/>
          <w:lang w:val="en-US"/>
        </w:rPr>
      </w:pPr>
      <w:r w:rsidRPr="00BE7EF3">
        <w:rPr>
          <w:rFonts w:eastAsia="Calibri" w:cstheme="minorHAnsi"/>
          <w:b/>
          <w:sz w:val="24"/>
          <w:szCs w:val="24"/>
          <w:lang w:val="en-US"/>
        </w:rPr>
        <w:t>Bloods:</w:t>
      </w:r>
      <w:r w:rsidRPr="00BE7EF3">
        <w:rPr>
          <w:rFonts w:eastAsia="Calibri" w:cstheme="minorHAnsi"/>
          <w:sz w:val="24"/>
          <w:szCs w:val="24"/>
          <w:lang w:val="en-US"/>
        </w:rPr>
        <w:t xml:space="preserve"> FBC, U&amp;E, clotting, venous gas and cross-match (with activation of Massive </w:t>
      </w:r>
      <w:proofErr w:type="spellStart"/>
      <w:r w:rsidRPr="00BE7EF3">
        <w:rPr>
          <w:rFonts w:eastAsia="Calibri" w:cstheme="minorHAnsi"/>
          <w:sz w:val="24"/>
          <w:szCs w:val="24"/>
          <w:lang w:val="en-US"/>
        </w:rPr>
        <w:t>Haemorrhage</w:t>
      </w:r>
      <w:proofErr w:type="spellEnd"/>
      <w:r w:rsidRPr="00BE7EF3">
        <w:rPr>
          <w:rFonts w:eastAsia="Calibri" w:cstheme="minorHAnsi"/>
          <w:sz w:val="24"/>
          <w:szCs w:val="24"/>
          <w:lang w:val="en-US"/>
        </w:rPr>
        <w:t xml:space="preserve"> Protocol if appropriate) should be taken for all significantly injured patients.   Consider a pregnancy test, if relevant.</w:t>
      </w:r>
    </w:p>
    <w:p w14:paraId="2710FBED" w14:textId="77777777" w:rsidR="00AB3832" w:rsidRPr="00BE7EF3" w:rsidRDefault="00AB3832" w:rsidP="00AB3832">
      <w:pPr>
        <w:pStyle w:val="Default"/>
        <w:numPr>
          <w:ilvl w:val="0"/>
          <w:numId w:val="88"/>
        </w:numPr>
        <w:spacing w:line="360" w:lineRule="auto"/>
        <w:contextualSpacing/>
        <w:jc w:val="both"/>
        <w:rPr>
          <w:rFonts w:asciiTheme="minorHAnsi" w:hAnsiTheme="minorHAnsi" w:cstheme="minorHAnsi"/>
          <w:color w:val="auto"/>
        </w:rPr>
      </w:pPr>
      <w:r w:rsidRPr="00BE7EF3">
        <w:rPr>
          <w:rFonts w:asciiTheme="minorHAnsi" w:eastAsia="Calibri" w:hAnsiTheme="minorHAnsi" w:cstheme="minorHAnsi"/>
          <w:b/>
          <w:lang w:val="en-US"/>
        </w:rPr>
        <w:t>Ultrasound:</w:t>
      </w:r>
      <w:r w:rsidRPr="00BE7EF3">
        <w:rPr>
          <w:rFonts w:asciiTheme="minorHAnsi" w:eastAsia="Calibri" w:hAnsiTheme="minorHAnsi" w:cstheme="minorHAnsi"/>
          <w:lang w:val="en-US"/>
        </w:rPr>
        <w:t xml:space="preserve"> </w:t>
      </w:r>
      <w:r w:rsidRPr="00BE7EF3">
        <w:rPr>
          <w:rFonts w:asciiTheme="minorHAnsi" w:hAnsiTheme="minorHAnsi" w:cstheme="minorHAnsi"/>
          <w:color w:val="auto"/>
        </w:rPr>
        <w:t xml:space="preserve">In the acute paediatric trauma setting there is no role for ultrasound outside of assisting in interventional procedures. </w:t>
      </w:r>
    </w:p>
    <w:p w14:paraId="519D89A4" w14:textId="77777777" w:rsidR="00AB3832" w:rsidRPr="001A235D" w:rsidRDefault="00AB3832" w:rsidP="00F040A4">
      <w:pPr>
        <w:numPr>
          <w:ilvl w:val="0"/>
          <w:numId w:val="88"/>
        </w:numPr>
        <w:spacing w:after="160" w:line="360" w:lineRule="auto"/>
        <w:ind w:left="357"/>
        <w:contextualSpacing/>
        <w:jc w:val="both"/>
        <w:rPr>
          <w:rFonts w:eastAsia="Calibri" w:cstheme="minorHAnsi"/>
          <w:sz w:val="24"/>
          <w:szCs w:val="24"/>
          <w:lang w:val="en-US"/>
        </w:rPr>
      </w:pPr>
      <w:r w:rsidRPr="001A235D">
        <w:rPr>
          <w:rFonts w:eastAsia="Calibri" w:cstheme="minorHAnsi"/>
          <w:b/>
          <w:sz w:val="24"/>
          <w:szCs w:val="24"/>
          <w:lang w:val="en-US"/>
        </w:rPr>
        <w:t>CT scan:</w:t>
      </w:r>
      <w:r w:rsidRPr="001A235D">
        <w:rPr>
          <w:rFonts w:eastAsia="Calibri" w:cstheme="minorHAnsi"/>
          <w:sz w:val="24"/>
          <w:szCs w:val="24"/>
          <w:lang w:val="en-US"/>
        </w:rPr>
        <w:t xml:space="preserve"> </w:t>
      </w:r>
      <w:r w:rsidRPr="001A235D">
        <w:rPr>
          <w:rFonts w:ascii="Calibri" w:hAnsi="Calibri" w:cs="Calibri"/>
          <w:iCs/>
          <w:color w:val="000000"/>
          <w:sz w:val="24"/>
          <w:szCs w:val="24"/>
        </w:rPr>
        <w:t xml:space="preserve">Contrast-enhanced CT is the modality of choice for the assessment of acute traumatic intra-abdominal injury. Where there is concern for significant intra-abdominal injury, all patients should undergo a CT scan using appropriate paediatric imaging protocols </w:t>
      </w:r>
      <w:r w:rsidR="001A235D">
        <w:rPr>
          <w:rFonts w:ascii="Calibri" w:hAnsi="Calibri" w:cs="Calibri"/>
          <w:iCs/>
          <w:color w:val="000000"/>
          <w:sz w:val="24"/>
          <w:szCs w:val="24"/>
        </w:rPr>
        <w:t>(</w:t>
      </w:r>
      <w:hyperlink w:anchor="Radiology" w:history="1">
        <w:r w:rsidR="001A235D" w:rsidRPr="001A235D">
          <w:rPr>
            <w:rStyle w:val="Hyperlink"/>
            <w:rFonts w:ascii="Calibri" w:hAnsi="Calibri" w:cs="Calibri"/>
            <w:iCs/>
            <w:sz w:val="24"/>
            <w:szCs w:val="24"/>
          </w:rPr>
          <w:t>Section 17</w:t>
        </w:r>
      </w:hyperlink>
      <w:r w:rsidR="001A235D">
        <w:rPr>
          <w:rFonts w:ascii="Calibri" w:hAnsi="Calibri" w:cs="Calibri"/>
          <w:iCs/>
          <w:color w:val="000000"/>
          <w:sz w:val="24"/>
          <w:szCs w:val="24"/>
        </w:rPr>
        <w:t xml:space="preserve">) </w:t>
      </w:r>
      <w:r w:rsidRPr="001A235D">
        <w:rPr>
          <w:rFonts w:ascii="Calibri" w:hAnsi="Calibri" w:cs="Calibri"/>
          <w:iCs/>
          <w:color w:val="000000"/>
          <w:sz w:val="24"/>
          <w:szCs w:val="24"/>
        </w:rPr>
        <w:t>unless there is rapid haemodynamic deterioration that requires immediate transfer to theatre. CT is best performed at the Major Trauma Centre (MTC), however for some less severe injuries the CT may be performed at the Trauma Unit. The findings will need to be discussed with the Paediatric Surgical Consultant at the MTC.</w:t>
      </w:r>
    </w:p>
    <w:p w14:paraId="23B62A8D" w14:textId="77777777" w:rsidR="00EF1112" w:rsidRPr="00BE7EF3" w:rsidRDefault="00EF1112" w:rsidP="00AB3832">
      <w:pPr>
        <w:spacing w:after="160" w:line="360" w:lineRule="auto"/>
        <w:contextualSpacing/>
        <w:jc w:val="both"/>
        <w:rPr>
          <w:rFonts w:eastAsia="Calibri" w:cstheme="minorHAnsi"/>
          <w:b/>
          <w:color w:val="2309BF"/>
          <w:sz w:val="24"/>
          <w:lang w:val="en-US"/>
        </w:rPr>
      </w:pPr>
    </w:p>
    <w:p w14:paraId="1E8B3220" w14:textId="77777777" w:rsidR="00AB3832" w:rsidRPr="00BE7EF3" w:rsidRDefault="00AB3832" w:rsidP="00AB3832">
      <w:pPr>
        <w:spacing w:after="160" w:line="360" w:lineRule="auto"/>
        <w:contextualSpacing/>
        <w:jc w:val="both"/>
        <w:rPr>
          <w:rFonts w:eastAsia="Calibri" w:cstheme="minorHAnsi"/>
          <w:b/>
          <w:color w:val="2309BF"/>
          <w:sz w:val="24"/>
          <w:lang w:val="en-US"/>
        </w:rPr>
      </w:pPr>
      <w:r w:rsidRPr="00BE7EF3">
        <w:rPr>
          <w:rFonts w:eastAsia="Calibri" w:cstheme="minorHAnsi"/>
          <w:b/>
          <w:color w:val="2309BF"/>
          <w:sz w:val="24"/>
          <w:lang w:val="en-US"/>
        </w:rPr>
        <w:t xml:space="preserve">Management (see </w:t>
      </w:r>
      <w:hyperlink w:anchor="Appendix4a" w:history="1">
        <w:r w:rsidR="00780FBB" w:rsidRPr="00780FBB">
          <w:rPr>
            <w:rStyle w:val="Hyperlink"/>
            <w:rFonts w:eastAsia="Calibri" w:cstheme="minorHAnsi"/>
            <w:b/>
            <w:sz w:val="24"/>
            <w:lang w:val="en-US"/>
          </w:rPr>
          <w:t>Appendix 4a</w:t>
        </w:r>
      </w:hyperlink>
      <w:r w:rsidRPr="00BE7EF3">
        <w:rPr>
          <w:rFonts w:eastAsia="Calibri" w:cstheme="minorHAnsi"/>
          <w:b/>
          <w:color w:val="2309BF"/>
          <w:sz w:val="24"/>
          <w:lang w:val="en-US"/>
        </w:rPr>
        <w:t>)</w:t>
      </w:r>
    </w:p>
    <w:p w14:paraId="5D0EB35D" w14:textId="77777777" w:rsidR="00AB3832" w:rsidRPr="00BE7EF3" w:rsidRDefault="00AB3832" w:rsidP="00AB3832">
      <w:pPr>
        <w:pStyle w:val="Default"/>
        <w:spacing w:line="360" w:lineRule="auto"/>
        <w:contextualSpacing/>
        <w:jc w:val="both"/>
        <w:rPr>
          <w:rFonts w:asciiTheme="minorHAnsi" w:hAnsiTheme="minorHAnsi" w:cstheme="minorHAnsi"/>
          <w:b/>
          <w:bCs/>
          <w:color w:val="auto"/>
        </w:rPr>
      </w:pPr>
      <w:r w:rsidRPr="00BE7EF3">
        <w:rPr>
          <w:rFonts w:asciiTheme="minorHAnsi" w:eastAsia="Calibri" w:hAnsiTheme="minorHAnsi" w:cstheme="minorHAnsi"/>
          <w:b/>
          <w:lang w:val="en-US"/>
        </w:rPr>
        <w:t xml:space="preserve">The guidance below covers expected management at the Major Trauma Centre. At a Trauma Unit management may be limited by the available resources. When the treatment necessary exceeds the TUs capabilities the patient will require transfer to the MTC. </w:t>
      </w:r>
      <w:r w:rsidRPr="00BE7EF3">
        <w:rPr>
          <w:rFonts w:asciiTheme="minorHAnsi" w:hAnsiTheme="minorHAnsi" w:cstheme="minorHAnsi"/>
          <w:b/>
          <w:bCs/>
          <w:color w:val="auto"/>
        </w:rPr>
        <w:t xml:space="preserve">The MTC can be contacted for advice at any time. </w:t>
      </w:r>
    </w:p>
    <w:p w14:paraId="1803EA67" w14:textId="77777777" w:rsidR="00AB3832" w:rsidRPr="00BE7EF3" w:rsidRDefault="00AB3832" w:rsidP="00AB3832">
      <w:pPr>
        <w:pStyle w:val="Default"/>
        <w:numPr>
          <w:ilvl w:val="0"/>
          <w:numId w:val="94"/>
        </w:numPr>
        <w:spacing w:line="360" w:lineRule="auto"/>
        <w:contextualSpacing/>
        <w:jc w:val="both"/>
        <w:rPr>
          <w:rFonts w:asciiTheme="minorHAnsi" w:hAnsiTheme="minorHAnsi" w:cstheme="minorHAnsi"/>
          <w:color w:val="auto"/>
        </w:rPr>
      </w:pPr>
      <w:r w:rsidRPr="00BE7EF3">
        <w:rPr>
          <w:rFonts w:asciiTheme="minorHAnsi" w:eastAsia="Calibri" w:hAnsiTheme="minorHAnsi" w:cstheme="minorHAnsi"/>
          <w:lang w:val="en-US"/>
        </w:rPr>
        <w:t xml:space="preserve">The management of patients with unresponsive or transiently responding shock/hypotension is challenging. </w:t>
      </w:r>
      <w:r w:rsidRPr="00BE7EF3">
        <w:rPr>
          <w:rFonts w:asciiTheme="minorHAnsi" w:hAnsiTheme="minorHAnsi" w:cstheme="minorHAnsi"/>
          <w:color w:val="auto"/>
        </w:rPr>
        <w:t xml:space="preserve">Early consideration must be given to blood transfusion in line with the </w:t>
      </w:r>
      <w:hyperlink w:anchor="Haemorrhage" w:history="1">
        <w:r w:rsidRPr="001A235D">
          <w:rPr>
            <w:rStyle w:val="Hyperlink"/>
            <w:rFonts w:asciiTheme="minorHAnsi" w:hAnsiTheme="minorHAnsi" w:cstheme="minorHAnsi"/>
          </w:rPr>
          <w:t>Massive Haemorrhage</w:t>
        </w:r>
      </w:hyperlink>
      <w:r w:rsidRPr="00BE7EF3">
        <w:rPr>
          <w:rFonts w:asciiTheme="minorHAnsi" w:hAnsiTheme="minorHAnsi" w:cstheme="minorHAnsi"/>
          <w:color w:val="auto"/>
        </w:rPr>
        <w:t xml:space="preserve"> Protocol. Any patient considered to have significant on going intra-abdominal bleeding requires rapid transfer to theatre for resuscitation and potential damage control surgery - laparotomy, pelvic stabilization, thoracotomy etc. </w:t>
      </w:r>
    </w:p>
    <w:p w14:paraId="69442F4E" w14:textId="77777777" w:rsidR="00AB3832" w:rsidRPr="00BE7EF3" w:rsidRDefault="00AB3832" w:rsidP="00AB3832">
      <w:pPr>
        <w:numPr>
          <w:ilvl w:val="0"/>
          <w:numId w:val="89"/>
        </w:numPr>
        <w:spacing w:after="160" w:line="360" w:lineRule="auto"/>
        <w:contextualSpacing/>
        <w:jc w:val="both"/>
        <w:rPr>
          <w:rFonts w:eastAsia="Calibri" w:cstheme="minorHAnsi"/>
          <w:sz w:val="24"/>
          <w:lang w:val="en-US"/>
        </w:rPr>
      </w:pPr>
      <w:r w:rsidRPr="00BE7EF3">
        <w:rPr>
          <w:rFonts w:eastAsia="Calibri" w:cstheme="minorHAnsi"/>
          <w:sz w:val="24"/>
          <w:lang w:val="en-US"/>
        </w:rPr>
        <w:t xml:space="preserve">Patients whose shock is not rapidly deteriorating should have a trauma or targeted CT scan in line with the Y&amp;H guidance on imaging in </w:t>
      </w:r>
      <w:proofErr w:type="spellStart"/>
      <w:r w:rsidRPr="00BE7EF3">
        <w:rPr>
          <w:rFonts w:eastAsia="Calibri" w:cstheme="minorHAnsi"/>
          <w:sz w:val="24"/>
          <w:lang w:val="en-US"/>
        </w:rPr>
        <w:t>paediatric</w:t>
      </w:r>
      <w:proofErr w:type="spellEnd"/>
      <w:r w:rsidRPr="00BE7EF3">
        <w:rPr>
          <w:rFonts w:eastAsia="Calibri" w:cstheme="minorHAnsi"/>
          <w:sz w:val="24"/>
          <w:lang w:val="en-US"/>
        </w:rPr>
        <w:t xml:space="preserve"> trauma.</w:t>
      </w:r>
    </w:p>
    <w:p w14:paraId="77D7C4E2" w14:textId="77777777" w:rsidR="00AB3832" w:rsidRPr="00BE7EF3" w:rsidRDefault="00AB3832" w:rsidP="00AB3832">
      <w:pPr>
        <w:pStyle w:val="Default"/>
        <w:numPr>
          <w:ilvl w:val="0"/>
          <w:numId w:val="89"/>
        </w:numPr>
        <w:spacing w:line="360" w:lineRule="auto"/>
        <w:contextualSpacing/>
        <w:jc w:val="both"/>
        <w:rPr>
          <w:rFonts w:asciiTheme="minorHAnsi" w:hAnsiTheme="minorHAnsi" w:cstheme="minorHAnsi"/>
          <w:color w:val="auto"/>
        </w:rPr>
      </w:pPr>
      <w:r w:rsidRPr="00BE7EF3">
        <w:rPr>
          <w:rFonts w:asciiTheme="minorHAnsi" w:hAnsiTheme="minorHAnsi" w:cstheme="minorHAnsi"/>
          <w:color w:val="auto"/>
        </w:rPr>
        <w:t xml:space="preserve">Patients with radiological evidence of ongoing bleeding from solid organs (spleen, kidney, liver) must be discussed with the Consultant Paediatric Surgeon, Consultant Paediatric Radiologist/ Interventional Radiologist, Consultant Paediatric Intensivist and Consultant Paediatric Anaesthetist to decide the optimal method and location of haemorrhage control. </w:t>
      </w:r>
    </w:p>
    <w:p w14:paraId="2BA9147A" w14:textId="77777777" w:rsidR="00AB3832" w:rsidRPr="00BE7EF3" w:rsidRDefault="00AB3832" w:rsidP="00AB3832">
      <w:pPr>
        <w:numPr>
          <w:ilvl w:val="0"/>
          <w:numId w:val="89"/>
        </w:numPr>
        <w:spacing w:after="160" w:line="360" w:lineRule="auto"/>
        <w:contextualSpacing/>
        <w:jc w:val="both"/>
        <w:rPr>
          <w:rFonts w:eastAsia="Calibri" w:cstheme="minorHAnsi"/>
          <w:sz w:val="24"/>
          <w:lang w:val="en-US"/>
        </w:rPr>
      </w:pPr>
      <w:r w:rsidRPr="00BE7EF3">
        <w:rPr>
          <w:rFonts w:eastAsia="Calibri" w:cstheme="minorHAnsi"/>
          <w:sz w:val="24"/>
          <w:lang w:val="en-US"/>
        </w:rPr>
        <w:lastRenderedPageBreak/>
        <w:t xml:space="preserve">Patients with radiological evidence of pseudoaneurysm rather than free, active bleeding from the spleen, liver or kidney must be discussed with the Consultant Paediatric Surgeon and Consultant Paediatric Radiologist/ Interventional Radiologist with a view to </w:t>
      </w:r>
      <w:proofErr w:type="spellStart"/>
      <w:r w:rsidRPr="00BE7EF3">
        <w:rPr>
          <w:rFonts w:eastAsia="Calibri" w:cstheme="minorHAnsi"/>
          <w:sz w:val="24"/>
          <w:lang w:val="en-US"/>
        </w:rPr>
        <w:t>angio-embolisation</w:t>
      </w:r>
      <w:proofErr w:type="spellEnd"/>
      <w:r w:rsidRPr="00BE7EF3">
        <w:rPr>
          <w:rFonts w:eastAsia="Calibri" w:cstheme="minorHAnsi"/>
          <w:sz w:val="24"/>
          <w:lang w:val="en-US"/>
        </w:rPr>
        <w:t xml:space="preserve">.  </w:t>
      </w:r>
      <w:r w:rsidRPr="00BE7EF3">
        <w:rPr>
          <w:rFonts w:cstheme="minorHAnsi"/>
          <w:sz w:val="24"/>
        </w:rPr>
        <w:t xml:space="preserve">This may require Vascular Intervention in Leeds. </w:t>
      </w:r>
    </w:p>
    <w:p w14:paraId="10836843" w14:textId="77777777" w:rsidR="00AB3832" w:rsidRPr="00BE7EF3" w:rsidRDefault="00AB3832" w:rsidP="00AB3832">
      <w:pPr>
        <w:numPr>
          <w:ilvl w:val="1"/>
          <w:numId w:val="89"/>
        </w:numPr>
        <w:spacing w:after="160" w:line="360" w:lineRule="auto"/>
        <w:contextualSpacing/>
        <w:jc w:val="both"/>
        <w:rPr>
          <w:rFonts w:eastAsia="Calibri" w:cstheme="minorHAnsi"/>
          <w:sz w:val="24"/>
          <w:lang w:val="en-US"/>
        </w:rPr>
      </w:pPr>
      <w:r w:rsidRPr="00BE7EF3">
        <w:rPr>
          <w:rFonts w:eastAsia="Calibri" w:cstheme="minorHAnsi"/>
          <w:sz w:val="24"/>
          <w:lang w:val="en-US"/>
        </w:rPr>
        <w:t xml:space="preserve">Patients with solid organ (spleen, kidney, liver) injury but no evidence of ongoing bleeding or pseudoaneurysm must be discussed with the Consultant Paediatric Surgeon.  </w:t>
      </w:r>
      <w:r w:rsidRPr="00BE7EF3">
        <w:rPr>
          <w:rFonts w:cstheme="minorHAnsi"/>
          <w:sz w:val="24"/>
        </w:rPr>
        <w:t>Non-operative management is superior in such cases. This should only be undertaken in a specialist paediatric high dependency setting, with appropriate staff and equipment should there be deterioration</w:t>
      </w:r>
      <w:r w:rsidR="00D532C1">
        <w:rPr>
          <w:rFonts w:cstheme="minorHAnsi"/>
          <w:sz w:val="24"/>
        </w:rPr>
        <w:t>.</w:t>
      </w:r>
      <w:r w:rsidRPr="00BE7EF3">
        <w:rPr>
          <w:rFonts w:cstheme="minorHAnsi"/>
          <w:sz w:val="24"/>
        </w:rPr>
        <w:t xml:space="preserve"> It is appropriate to transfer these patients early to the MTC, rather than transfer on deterioration. </w:t>
      </w:r>
      <w:r w:rsidRPr="00BE7EF3">
        <w:rPr>
          <w:rFonts w:eastAsia="Calibri" w:cstheme="minorHAnsi"/>
          <w:sz w:val="24"/>
          <w:lang w:val="en-US"/>
        </w:rPr>
        <w:t xml:space="preserve">The patient must be adequately resuscitated to correct hypoperfusion.  In a minority of patients due to the increase in perfusion pressure, bleeding may recur. </w:t>
      </w:r>
    </w:p>
    <w:p w14:paraId="1C4380F3" w14:textId="77777777" w:rsidR="00AB3832" w:rsidRPr="00BE7EF3" w:rsidRDefault="00AB3832" w:rsidP="00AB3832">
      <w:pPr>
        <w:numPr>
          <w:ilvl w:val="1"/>
          <w:numId w:val="89"/>
        </w:numPr>
        <w:spacing w:after="160" w:line="360" w:lineRule="auto"/>
        <w:contextualSpacing/>
        <w:jc w:val="both"/>
        <w:rPr>
          <w:rFonts w:eastAsia="Calibri" w:cstheme="minorHAnsi"/>
          <w:sz w:val="24"/>
          <w:lang w:val="en-US"/>
        </w:rPr>
      </w:pPr>
      <w:r w:rsidRPr="00BE7EF3">
        <w:rPr>
          <w:rFonts w:eastAsia="Calibri" w:cstheme="minorHAnsi"/>
          <w:sz w:val="24"/>
          <w:lang w:val="en-US"/>
        </w:rPr>
        <w:t xml:space="preserve">During non-operative treatment regular clinical examinations and hemoglobin measurements must be undertaken.  If re-bleeding is suspected (progressive shock and / or falling hemoglobin) transfer to theatre or further CT angiography is required.  If confirmed, then </w:t>
      </w:r>
      <w:proofErr w:type="spellStart"/>
      <w:r w:rsidRPr="00BE7EF3">
        <w:rPr>
          <w:rFonts w:eastAsia="Calibri" w:cstheme="minorHAnsi"/>
          <w:sz w:val="24"/>
          <w:lang w:val="en-US"/>
        </w:rPr>
        <w:t>angio-embolisation</w:t>
      </w:r>
      <w:proofErr w:type="spellEnd"/>
      <w:r w:rsidRPr="00BE7EF3">
        <w:rPr>
          <w:rFonts w:eastAsia="Calibri" w:cstheme="minorHAnsi"/>
          <w:sz w:val="24"/>
          <w:lang w:val="en-US"/>
        </w:rPr>
        <w:t xml:space="preserve"> or operative control of bleeding is required.  Increasing abdominal pain, tenderness, inflammatory markers or deranged liver function tests may be the result of a missed hollow viscus injury, pancreatic injury or a local complication of solid organ injury e.g. biliary peritonitis.  </w:t>
      </w:r>
      <w:r w:rsidRPr="00BE7EF3">
        <w:rPr>
          <w:rFonts w:cstheme="minorHAnsi"/>
          <w:sz w:val="24"/>
        </w:rPr>
        <w:t xml:space="preserve">Mesenteric bleeding can lead to slowly developing local intestinal ischaemia and delayed intestinal perforation as well as the risk of ongoing haemorrhage. </w:t>
      </w:r>
      <w:r w:rsidRPr="00BE7EF3">
        <w:rPr>
          <w:rFonts w:eastAsia="Calibri" w:cstheme="minorHAnsi"/>
          <w:sz w:val="24"/>
          <w:lang w:val="en-US"/>
        </w:rPr>
        <w:t xml:space="preserve">Further CT imaging is indicated to attempt to identify the underlying problem. </w:t>
      </w:r>
    </w:p>
    <w:p w14:paraId="64B69D00" w14:textId="77777777" w:rsidR="00AB3832" w:rsidRPr="00BE7EF3" w:rsidRDefault="00AB3832" w:rsidP="00AB3832">
      <w:pPr>
        <w:numPr>
          <w:ilvl w:val="1"/>
          <w:numId w:val="89"/>
        </w:numPr>
        <w:spacing w:after="160" w:line="360" w:lineRule="auto"/>
        <w:contextualSpacing/>
        <w:jc w:val="both"/>
        <w:rPr>
          <w:rFonts w:eastAsia="Calibri" w:cstheme="minorHAnsi"/>
          <w:sz w:val="24"/>
          <w:lang w:val="en-US"/>
        </w:rPr>
      </w:pPr>
      <w:r w:rsidRPr="00BE7EF3">
        <w:rPr>
          <w:rFonts w:eastAsia="Calibri" w:cstheme="minorHAnsi"/>
          <w:sz w:val="24"/>
          <w:lang w:val="en-US"/>
        </w:rPr>
        <w:t xml:space="preserve">Patients with Grade IV or more splenic or hepatic injuries undergoing non-operative management should be considered for angiography as a proportion will reveal significant vascular injury which if treated should reduce the risk of re-bleeding. </w:t>
      </w:r>
      <w:r w:rsidRPr="00BE7EF3">
        <w:rPr>
          <w:rFonts w:cstheme="minorHAnsi"/>
          <w:sz w:val="24"/>
        </w:rPr>
        <w:t xml:space="preserve">This may require Vascular Intervention in Leeds. </w:t>
      </w:r>
      <w:r w:rsidR="009F5320">
        <w:rPr>
          <w:rFonts w:cstheme="minorHAnsi"/>
          <w:sz w:val="24"/>
        </w:rPr>
        <w:t xml:space="preserve">For more detail on the solid organ injury grading system </w:t>
      </w:r>
      <w:r w:rsidR="00D06F74">
        <w:rPr>
          <w:rFonts w:cstheme="minorHAnsi"/>
          <w:sz w:val="24"/>
        </w:rPr>
        <w:t xml:space="preserve">see </w:t>
      </w:r>
      <w:hyperlink r:id="rId9" w:tgtFrame="_blank" w:history="1">
        <w:r w:rsidR="00D06F74" w:rsidRPr="00603D8F">
          <w:rPr>
            <w:rStyle w:val="Hyperlink"/>
            <w:rFonts w:ascii="Calibri" w:hAnsi="Calibri" w:cs="Calibri"/>
            <w:color w:val="0000FF"/>
          </w:rPr>
          <w:t>https://www.wymtn.com/uploads/5/1/8/9/51899421/abdominal_trauma_-_paediatrics.pdf</w:t>
        </w:r>
      </w:hyperlink>
      <w:r w:rsidR="00D06F74" w:rsidRPr="00603D8F">
        <w:rPr>
          <w:rFonts w:ascii="Calibri" w:hAnsi="Calibri" w:cs="Calibri"/>
          <w:color w:val="0000FF"/>
        </w:rPr>
        <w:t>​</w:t>
      </w:r>
      <w:r w:rsidR="00D06F74">
        <w:rPr>
          <w:rFonts w:ascii="Calibri" w:hAnsi="Calibri" w:cs="Calibri"/>
          <w:color w:val="000000"/>
        </w:rPr>
        <w:t xml:space="preserve"> (Appx 1-3)</w:t>
      </w:r>
      <w:r w:rsidR="003A5825">
        <w:rPr>
          <w:rFonts w:ascii="Calibri" w:hAnsi="Calibri" w:cs="Calibri"/>
          <w:color w:val="000000"/>
        </w:rPr>
        <w:t>.</w:t>
      </w:r>
    </w:p>
    <w:p w14:paraId="4CB20814" w14:textId="77777777" w:rsidR="00BE7EF3" w:rsidRDefault="00AB3832" w:rsidP="001F034E">
      <w:pPr>
        <w:numPr>
          <w:ilvl w:val="1"/>
          <w:numId w:val="89"/>
        </w:numPr>
        <w:spacing w:after="160" w:line="360" w:lineRule="auto"/>
        <w:contextualSpacing/>
        <w:jc w:val="both"/>
        <w:rPr>
          <w:rFonts w:eastAsia="Calibri" w:cstheme="minorHAnsi"/>
          <w:sz w:val="24"/>
          <w:lang w:val="en-US"/>
        </w:rPr>
      </w:pPr>
      <w:r w:rsidRPr="00BE7EF3">
        <w:rPr>
          <w:rFonts w:eastAsia="Calibri" w:cstheme="minorHAnsi"/>
          <w:sz w:val="24"/>
          <w:lang w:val="en-US"/>
        </w:rPr>
        <w:t>Patients with evidence of hollow viscus injury, mesenteric injury or diaphragmatic injury on the initial CT will almost certainly require laparotomy and should be discussed with the Consultant Paediatric Surgeon.</w:t>
      </w:r>
    </w:p>
    <w:p w14:paraId="64ECC380" w14:textId="33E8F3BB" w:rsidR="00AB3832" w:rsidRPr="007671FF" w:rsidRDefault="00AB3832" w:rsidP="00250C43">
      <w:pPr>
        <w:numPr>
          <w:ilvl w:val="1"/>
          <w:numId w:val="89"/>
        </w:numPr>
        <w:spacing w:after="160" w:line="360" w:lineRule="auto"/>
        <w:contextualSpacing/>
        <w:jc w:val="both"/>
        <w:rPr>
          <w:rFonts w:eastAsia="Calibri" w:cstheme="minorHAnsi"/>
          <w:sz w:val="24"/>
          <w:lang w:val="en-US"/>
        </w:rPr>
      </w:pPr>
      <w:r w:rsidRPr="007671FF">
        <w:rPr>
          <w:rFonts w:eastAsia="Calibri" w:cstheme="minorHAnsi"/>
          <w:sz w:val="24"/>
          <w:lang w:val="en-US"/>
        </w:rPr>
        <w:t xml:space="preserve">The Embrace conferencing system allows TU and MTC to talk directly to each other and can facilitate discussion between multiple clinicians. Embrace </w:t>
      </w:r>
      <w:hyperlink r:id="rId10" w:history="1">
        <w:r w:rsidR="00AE5244" w:rsidRPr="00B07C69">
          <w:rPr>
            <w:rFonts w:ascii="Calibri" w:hAnsi="Calibri" w:cs="Calibri"/>
            <w:color w:val="0000FF"/>
            <w:u w:val="single"/>
            <w:lang w:eastAsia="en-GB"/>
          </w:rPr>
          <w:t>sheffieldchildrens.nhs.uk/embrace</w:t>
        </w:r>
      </w:hyperlink>
      <w:r w:rsidRPr="007671FF">
        <w:rPr>
          <w:rFonts w:eastAsia="Calibri" w:cstheme="minorHAnsi"/>
          <w:sz w:val="24"/>
          <w:lang w:val="en-US"/>
        </w:rPr>
        <w:t xml:space="preserve"> can also give advice on transfers if needed. </w:t>
      </w:r>
      <w:r w:rsidRPr="007671FF">
        <w:rPr>
          <w:rFonts w:cstheme="minorHAnsi"/>
          <w:b/>
          <w:sz w:val="24"/>
        </w:rPr>
        <w:t>For immediate transfer procedure see</w:t>
      </w:r>
      <w:r w:rsidR="001A235D" w:rsidRPr="007671FF">
        <w:rPr>
          <w:rFonts w:cstheme="minorHAnsi"/>
          <w:b/>
          <w:sz w:val="24"/>
        </w:rPr>
        <w:t xml:space="preserve"> </w:t>
      </w:r>
      <w:hyperlink w:anchor="Philosophy" w:history="1">
        <w:r w:rsidR="001A235D" w:rsidRPr="007671FF">
          <w:rPr>
            <w:rStyle w:val="Hyperlink"/>
            <w:rFonts w:cstheme="minorHAnsi"/>
            <w:b/>
            <w:sz w:val="24"/>
          </w:rPr>
          <w:t>here</w:t>
        </w:r>
      </w:hyperlink>
      <w:r w:rsidR="001A235D" w:rsidRPr="007671FF">
        <w:rPr>
          <w:rFonts w:cstheme="minorHAnsi"/>
          <w:b/>
          <w:sz w:val="24"/>
        </w:rPr>
        <w:t>.</w:t>
      </w:r>
      <w:r w:rsidR="00AE5244">
        <w:rPr>
          <w:rFonts w:cstheme="minorHAnsi"/>
          <w:b/>
          <w:sz w:val="24"/>
        </w:rPr>
        <w:t xml:space="preserve"> </w:t>
      </w:r>
    </w:p>
    <w:p w14:paraId="6A14F657" w14:textId="77777777" w:rsidR="00AB3832" w:rsidRDefault="00AB3832" w:rsidP="00AB3832">
      <w:pPr>
        <w:spacing w:after="160" w:line="256" w:lineRule="auto"/>
        <w:contextualSpacing/>
        <w:jc w:val="both"/>
        <w:rPr>
          <w:rFonts w:eastAsia="Calibri" w:cstheme="minorHAnsi"/>
          <w:b/>
          <w:sz w:val="28"/>
          <w:lang w:val="en-US"/>
        </w:rPr>
      </w:pPr>
      <w:r w:rsidRPr="00364BE1">
        <w:rPr>
          <w:rFonts w:eastAsia="Calibri" w:cstheme="minorHAnsi"/>
          <w:b/>
          <w:sz w:val="28"/>
          <w:lang w:val="en-US"/>
        </w:rPr>
        <w:lastRenderedPageBreak/>
        <w:t>Penetrating Injury</w:t>
      </w:r>
    </w:p>
    <w:p w14:paraId="413B5693" w14:textId="77777777" w:rsidR="00AB3832" w:rsidRPr="00364BE1" w:rsidRDefault="00AB3832" w:rsidP="00AB3832">
      <w:pPr>
        <w:spacing w:after="160" w:line="259" w:lineRule="auto"/>
        <w:contextualSpacing/>
        <w:rPr>
          <w:rFonts w:eastAsia="Calibri" w:cstheme="minorHAnsi"/>
          <w:b/>
          <w:sz w:val="28"/>
          <w:lang w:val="en-US"/>
        </w:rPr>
      </w:pPr>
    </w:p>
    <w:p w14:paraId="1C751F9E" w14:textId="77777777" w:rsidR="00AB3832" w:rsidRPr="00BE7EF3" w:rsidRDefault="00AB3832" w:rsidP="00AB3832">
      <w:pPr>
        <w:spacing w:line="360" w:lineRule="auto"/>
        <w:contextualSpacing/>
        <w:jc w:val="both"/>
        <w:rPr>
          <w:rFonts w:eastAsia="Calibri" w:cstheme="minorHAnsi"/>
          <w:color w:val="2309BF"/>
          <w:sz w:val="24"/>
          <w:szCs w:val="24"/>
          <w:lang w:val="en-US"/>
        </w:rPr>
      </w:pPr>
      <w:r w:rsidRPr="00BE7EF3">
        <w:rPr>
          <w:rFonts w:eastAsia="Calibri" w:cstheme="minorHAnsi"/>
          <w:b/>
          <w:color w:val="2309BF"/>
          <w:sz w:val="24"/>
          <w:szCs w:val="24"/>
          <w:lang w:val="en-US"/>
        </w:rPr>
        <w:t>Background</w:t>
      </w:r>
      <w:r w:rsidRPr="00BE7EF3">
        <w:rPr>
          <w:rFonts w:eastAsia="Calibri" w:cstheme="minorHAnsi"/>
          <w:color w:val="2309BF"/>
          <w:sz w:val="24"/>
          <w:szCs w:val="24"/>
          <w:lang w:val="en-US"/>
        </w:rPr>
        <w:t xml:space="preserve"> </w:t>
      </w:r>
    </w:p>
    <w:p w14:paraId="544ABE8C" w14:textId="77777777" w:rsidR="00AB3832" w:rsidRPr="00BE7EF3" w:rsidRDefault="00AB3832" w:rsidP="00AB3832">
      <w:pPr>
        <w:numPr>
          <w:ilvl w:val="0"/>
          <w:numId w:val="90"/>
        </w:numPr>
        <w:spacing w:after="160" w:line="360" w:lineRule="auto"/>
        <w:contextualSpacing/>
        <w:jc w:val="both"/>
        <w:rPr>
          <w:rFonts w:eastAsia="Calibri" w:cstheme="minorHAnsi"/>
          <w:sz w:val="24"/>
          <w:szCs w:val="24"/>
          <w:lang w:val="en-US"/>
        </w:rPr>
      </w:pPr>
      <w:r w:rsidRPr="00BE7EF3">
        <w:rPr>
          <w:rFonts w:eastAsia="Calibri" w:cstheme="minorHAnsi"/>
          <w:sz w:val="24"/>
          <w:szCs w:val="24"/>
          <w:lang w:val="en-US"/>
        </w:rPr>
        <w:t xml:space="preserve">Paediatric penetrating injuries are very uncommon. Within the trauma network, gunshot wounds are very rare but stabbing and impalements do occur.  The mechanism of wounding needs to be established as it strongly influences management decisions.   Adult patients suffering stab injury are less likely to require laparotomy (25-33%) than those suffering gunshot injury (80-95%). Note, 55-60% of patients with any stab wound that has entered the peritoneum have hypovolemic shock, peritonitis or bowel / omental evisceration and require a laparotomy.  In the remainder, 50% will eventually require operation if observed.  Most patients with abdominal gunshot wounds have significant intraperitoneal injury and therefore justify laparotomy. </w:t>
      </w:r>
    </w:p>
    <w:p w14:paraId="527CEC02" w14:textId="77777777" w:rsidR="00AB3832" w:rsidRPr="00BE7EF3" w:rsidRDefault="00AB3832" w:rsidP="00AB3832">
      <w:pPr>
        <w:numPr>
          <w:ilvl w:val="0"/>
          <w:numId w:val="90"/>
        </w:numPr>
        <w:spacing w:after="160" w:line="360" w:lineRule="auto"/>
        <w:contextualSpacing/>
        <w:jc w:val="both"/>
        <w:rPr>
          <w:rFonts w:eastAsia="Calibri" w:cstheme="minorHAnsi"/>
          <w:sz w:val="24"/>
          <w:szCs w:val="24"/>
          <w:lang w:val="en-US"/>
        </w:rPr>
      </w:pPr>
      <w:r w:rsidRPr="00BE7EF3">
        <w:rPr>
          <w:rFonts w:eastAsia="Calibri" w:cstheme="minorHAnsi"/>
          <w:sz w:val="24"/>
          <w:szCs w:val="24"/>
          <w:lang w:val="en-US"/>
        </w:rPr>
        <w:t xml:space="preserve">Clinicians have a responsibility to inform the police if a patient attends the Emergency Department with a knife or gunshot wound after an assault but demographic information should, in the first instance, only be shared with the patient’s consent. Reporting is the responsibility of the ED consultant in charge. Further information can be found at </w:t>
      </w:r>
      <w:hyperlink r:id="rId11" w:history="1">
        <w:r w:rsidRPr="00BE7EF3">
          <w:rPr>
            <w:rStyle w:val="Hyperlink"/>
            <w:rFonts w:eastAsia="Calibri" w:cstheme="minorHAnsi"/>
            <w:sz w:val="24"/>
            <w:szCs w:val="24"/>
            <w:lang w:val="en-US"/>
          </w:rPr>
          <w:t>https://www.gmc-uk.org/ethical-guidance/ethical-guidance-for-doctors/confidentiality---reporting-gunshot-and-knife-wounds</w:t>
        </w:r>
      </w:hyperlink>
    </w:p>
    <w:p w14:paraId="1D76D8D4" w14:textId="77777777" w:rsidR="00AB3832" w:rsidRPr="00BE7EF3" w:rsidRDefault="00AB3832" w:rsidP="00AB3832">
      <w:pPr>
        <w:spacing w:line="360" w:lineRule="auto"/>
        <w:ind w:left="360"/>
        <w:contextualSpacing/>
        <w:jc w:val="both"/>
        <w:rPr>
          <w:rFonts w:eastAsia="Calibri" w:cstheme="minorHAnsi"/>
          <w:sz w:val="24"/>
          <w:szCs w:val="24"/>
          <w:lang w:val="en-US"/>
        </w:rPr>
      </w:pPr>
    </w:p>
    <w:p w14:paraId="7368F728" w14:textId="77777777" w:rsidR="00AB3832" w:rsidRPr="00BE7EF3" w:rsidRDefault="00AB3832" w:rsidP="00AB3832">
      <w:pPr>
        <w:spacing w:after="160" w:line="360" w:lineRule="auto"/>
        <w:contextualSpacing/>
        <w:jc w:val="both"/>
        <w:rPr>
          <w:rFonts w:eastAsia="Calibri" w:cstheme="minorHAnsi"/>
          <w:color w:val="2309BF"/>
          <w:sz w:val="24"/>
          <w:szCs w:val="24"/>
          <w:lang w:val="en-US"/>
        </w:rPr>
      </w:pPr>
      <w:r w:rsidRPr="00BE7EF3">
        <w:rPr>
          <w:rFonts w:eastAsia="Calibri" w:cstheme="minorHAnsi"/>
          <w:b/>
          <w:color w:val="2309BF"/>
          <w:sz w:val="24"/>
          <w:szCs w:val="24"/>
          <w:lang w:val="en-US"/>
        </w:rPr>
        <w:t>Clinical assessment</w:t>
      </w:r>
    </w:p>
    <w:p w14:paraId="1CDEB7F0" w14:textId="77777777" w:rsidR="00AB3832" w:rsidRPr="00BE7EF3" w:rsidRDefault="00AB3832" w:rsidP="00AB3832">
      <w:pPr>
        <w:numPr>
          <w:ilvl w:val="0"/>
          <w:numId w:val="87"/>
        </w:numPr>
        <w:spacing w:after="160" w:line="360" w:lineRule="auto"/>
        <w:contextualSpacing/>
        <w:jc w:val="both"/>
        <w:rPr>
          <w:rFonts w:eastAsia="Calibri" w:cstheme="minorHAnsi"/>
          <w:b/>
          <w:sz w:val="24"/>
          <w:szCs w:val="24"/>
          <w:lang w:val="en-US"/>
        </w:rPr>
      </w:pPr>
      <w:r w:rsidRPr="00BE7EF3">
        <w:rPr>
          <w:rFonts w:eastAsia="Calibri" w:cstheme="minorHAnsi"/>
          <w:sz w:val="24"/>
          <w:szCs w:val="24"/>
          <w:lang w:val="en-US"/>
        </w:rPr>
        <w:t xml:space="preserve">The patient must be assessed by the trauma team in line with Trauma Management Principles.  Abdominal examination should be included within “C” as a potential site of bleeding.  As with blunt injury, patients in shock with penetrating chest and / or abdominal injury need </w:t>
      </w:r>
      <w:r w:rsidRPr="00BE7EF3">
        <w:rPr>
          <w:rFonts w:cstheme="minorHAnsi"/>
          <w:sz w:val="24"/>
          <w:szCs w:val="24"/>
        </w:rPr>
        <w:t xml:space="preserve">immediate transfer to the Paediatric MTC. </w:t>
      </w:r>
      <w:r w:rsidRPr="00BE7EF3">
        <w:rPr>
          <w:rFonts w:cstheme="minorHAnsi"/>
          <w:b/>
          <w:sz w:val="24"/>
          <w:szCs w:val="24"/>
        </w:rPr>
        <w:t>This should be ED to ED and does not need discussion with specialities within the MTC as automatic acceptance is Network standard.</w:t>
      </w:r>
      <w:r w:rsidRPr="00BE7EF3">
        <w:rPr>
          <w:rFonts w:eastAsia="Calibri" w:cstheme="minorHAnsi"/>
          <w:b/>
          <w:sz w:val="24"/>
          <w:szCs w:val="24"/>
          <w:lang w:val="en-US"/>
        </w:rPr>
        <w:t xml:space="preserve"> </w:t>
      </w:r>
    </w:p>
    <w:p w14:paraId="27433626" w14:textId="77777777" w:rsidR="00AB3832" w:rsidRPr="00BE7EF3" w:rsidRDefault="00AB3832" w:rsidP="00AB3832">
      <w:pPr>
        <w:numPr>
          <w:ilvl w:val="0"/>
          <w:numId w:val="87"/>
        </w:numPr>
        <w:spacing w:after="160" w:line="360" w:lineRule="auto"/>
        <w:contextualSpacing/>
        <w:jc w:val="both"/>
        <w:rPr>
          <w:rFonts w:eastAsia="Calibri" w:cstheme="minorHAnsi"/>
          <w:sz w:val="24"/>
          <w:szCs w:val="24"/>
          <w:lang w:val="en-US"/>
        </w:rPr>
      </w:pPr>
      <w:r w:rsidRPr="00BE7EF3">
        <w:rPr>
          <w:rFonts w:eastAsia="Calibri" w:cstheme="minorHAnsi"/>
          <w:sz w:val="24"/>
          <w:szCs w:val="24"/>
          <w:lang w:val="en-US"/>
        </w:rPr>
        <w:t xml:space="preserve">Any patients not meeting criteria for immediate transfer should be discussed early with: </w:t>
      </w:r>
    </w:p>
    <w:p w14:paraId="58811FFA" w14:textId="77777777" w:rsidR="00AB3832" w:rsidRPr="00BE7EF3" w:rsidRDefault="00AB3832" w:rsidP="00AB3832">
      <w:pPr>
        <w:numPr>
          <w:ilvl w:val="1"/>
          <w:numId w:val="90"/>
        </w:numPr>
        <w:spacing w:after="160" w:line="360" w:lineRule="auto"/>
        <w:contextualSpacing/>
        <w:jc w:val="both"/>
        <w:rPr>
          <w:rFonts w:eastAsia="Calibri" w:cstheme="minorHAnsi"/>
          <w:sz w:val="24"/>
          <w:szCs w:val="24"/>
          <w:lang w:val="en-US"/>
        </w:rPr>
      </w:pPr>
      <w:r w:rsidRPr="00BE7EF3">
        <w:rPr>
          <w:rFonts w:eastAsia="Calibri" w:cstheme="minorHAnsi"/>
          <w:sz w:val="24"/>
          <w:szCs w:val="24"/>
          <w:lang w:val="en-US"/>
        </w:rPr>
        <w:t>MTC: the on call Paediatric Surgical Consultant or Middle Grade. Alert the interventional radiologist on-call where appropriate.</w:t>
      </w:r>
    </w:p>
    <w:p w14:paraId="6CB4A14B" w14:textId="77777777" w:rsidR="00AB3832" w:rsidRPr="00BE7EF3" w:rsidRDefault="00AB3832" w:rsidP="00AB3832">
      <w:pPr>
        <w:numPr>
          <w:ilvl w:val="1"/>
          <w:numId w:val="90"/>
        </w:numPr>
        <w:spacing w:after="160" w:line="360" w:lineRule="auto"/>
        <w:contextualSpacing/>
        <w:jc w:val="both"/>
        <w:rPr>
          <w:rFonts w:eastAsia="Calibri" w:cstheme="minorHAnsi"/>
          <w:sz w:val="24"/>
          <w:szCs w:val="24"/>
          <w:lang w:val="en-US"/>
        </w:rPr>
      </w:pPr>
      <w:r w:rsidRPr="00BE7EF3">
        <w:rPr>
          <w:rFonts w:eastAsia="Calibri" w:cstheme="minorHAnsi"/>
          <w:sz w:val="24"/>
          <w:szCs w:val="24"/>
          <w:lang w:val="en-US"/>
        </w:rPr>
        <w:t>TU: the on call General Surgical Consultant.</w:t>
      </w:r>
    </w:p>
    <w:p w14:paraId="689CB487" w14:textId="77777777" w:rsidR="00AB3832" w:rsidRPr="00BE7EF3" w:rsidRDefault="00AB3832" w:rsidP="00AB3832">
      <w:pPr>
        <w:numPr>
          <w:ilvl w:val="0"/>
          <w:numId w:val="90"/>
        </w:numPr>
        <w:spacing w:after="160" w:line="360" w:lineRule="auto"/>
        <w:contextualSpacing/>
        <w:jc w:val="both"/>
        <w:rPr>
          <w:rFonts w:eastAsia="Calibri" w:cstheme="minorHAnsi"/>
          <w:sz w:val="24"/>
          <w:szCs w:val="24"/>
          <w:lang w:val="en-US"/>
        </w:rPr>
      </w:pPr>
      <w:r w:rsidRPr="00BE7EF3">
        <w:rPr>
          <w:rFonts w:eastAsia="Calibri" w:cstheme="minorHAnsi"/>
          <w:sz w:val="24"/>
          <w:szCs w:val="24"/>
          <w:lang w:val="en-US"/>
        </w:rPr>
        <w:t xml:space="preserve">Ensure O Negative blood will be available and warn that the </w:t>
      </w:r>
      <w:hyperlink w:anchor="Haemorrhage" w:history="1">
        <w:r w:rsidRPr="001A235D">
          <w:rPr>
            <w:rStyle w:val="Hyperlink"/>
            <w:rFonts w:eastAsia="Calibri" w:cstheme="minorHAnsi"/>
            <w:sz w:val="24"/>
            <w:szCs w:val="24"/>
            <w:lang w:val="en-US"/>
          </w:rPr>
          <w:t xml:space="preserve">Massive </w:t>
        </w:r>
        <w:proofErr w:type="spellStart"/>
        <w:r w:rsidRPr="001A235D">
          <w:rPr>
            <w:rStyle w:val="Hyperlink"/>
            <w:rFonts w:eastAsia="Calibri" w:cstheme="minorHAnsi"/>
            <w:sz w:val="24"/>
            <w:szCs w:val="24"/>
            <w:lang w:val="en-US"/>
          </w:rPr>
          <w:t>Haemorrhage</w:t>
        </w:r>
        <w:proofErr w:type="spellEnd"/>
      </w:hyperlink>
      <w:r w:rsidRPr="00BE7EF3">
        <w:rPr>
          <w:rFonts w:eastAsia="Calibri" w:cstheme="minorHAnsi"/>
          <w:sz w:val="24"/>
          <w:szCs w:val="24"/>
          <w:lang w:val="en-US"/>
        </w:rPr>
        <w:t xml:space="preserve"> Protocol may be activated</w:t>
      </w:r>
      <w:r w:rsidR="001A235D">
        <w:rPr>
          <w:rFonts w:eastAsia="Calibri" w:cstheme="minorHAnsi"/>
          <w:sz w:val="24"/>
          <w:szCs w:val="24"/>
          <w:lang w:val="en-US"/>
        </w:rPr>
        <w:t>.</w:t>
      </w:r>
    </w:p>
    <w:p w14:paraId="5EC689AA" w14:textId="77777777" w:rsidR="00AB3832" w:rsidRPr="00BE7EF3" w:rsidRDefault="00AB3832" w:rsidP="00AB3832">
      <w:pPr>
        <w:pStyle w:val="ListParagraph"/>
        <w:numPr>
          <w:ilvl w:val="0"/>
          <w:numId w:val="90"/>
        </w:numPr>
        <w:spacing w:after="160" w:line="360" w:lineRule="auto"/>
        <w:jc w:val="both"/>
        <w:rPr>
          <w:rFonts w:eastAsia="Calibri" w:cstheme="minorHAnsi"/>
          <w:i/>
          <w:sz w:val="24"/>
          <w:szCs w:val="24"/>
          <w:lang w:val="en-US"/>
        </w:rPr>
      </w:pPr>
      <w:r w:rsidRPr="00BE7EF3">
        <w:rPr>
          <w:rFonts w:eastAsia="Calibri" w:cstheme="minorHAnsi"/>
          <w:b/>
          <w:sz w:val="24"/>
          <w:szCs w:val="24"/>
          <w:lang w:val="en-US"/>
        </w:rPr>
        <w:lastRenderedPageBreak/>
        <w:t>Inspection:</w:t>
      </w:r>
      <w:r w:rsidRPr="00BE7EF3">
        <w:rPr>
          <w:rFonts w:eastAsia="Calibri" w:cstheme="minorHAnsi"/>
          <w:sz w:val="24"/>
          <w:szCs w:val="24"/>
          <w:lang w:val="en-US"/>
        </w:rPr>
        <w:t xml:space="preserve"> </w:t>
      </w:r>
      <w:r w:rsidRPr="00BE7EF3">
        <w:rPr>
          <w:rFonts w:cstheme="minorHAnsi"/>
          <w:sz w:val="24"/>
          <w:szCs w:val="24"/>
        </w:rPr>
        <w:t xml:space="preserve">Do not exclude significant injury on the basis of perceived depth or direction injury from the entry point of the wound; few patients are in the anatomical position at the time of injury. Unless the patient requires an emergency department thoracotomy, the patient must be log rolled to identify all injuries. Particular care should be taken to inspect the axillae and perineum as wounds in these sites can be missed. Skin wounds should be marked with radio opaque markers e.g. closed paper clip taped to anterior wounds and opened paper clip to posterior wounds. Never remove protruding weapon or foreign body. Abdominal distension may be a sign of significant intra-abdominal </w:t>
      </w:r>
      <w:r w:rsidR="00780FBB" w:rsidRPr="00BE7EF3">
        <w:rPr>
          <w:rFonts w:cstheme="minorHAnsi"/>
          <w:sz w:val="24"/>
          <w:szCs w:val="24"/>
        </w:rPr>
        <w:t>bleeding,</w:t>
      </w:r>
      <w:r w:rsidRPr="00BE7EF3">
        <w:rPr>
          <w:rFonts w:cstheme="minorHAnsi"/>
          <w:sz w:val="24"/>
          <w:szCs w:val="24"/>
        </w:rPr>
        <w:t xml:space="preserve"> but a significant volume of blood can collect without undue distension.</w:t>
      </w:r>
    </w:p>
    <w:p w14:paraId="019C2ACF" w14:textId="77777777" w:rsidR="00AB3832" w:rsidRPr="00BE7EF3" w:rsidRDefault="00AB3832" w:rsidP="00AB3832">
      <w:pPr>
        <w:pStyle w:val="ListParagraph"/>
        <w:numPr>
          <w:ilvl w:val="0"/>
          <w:numId w:val="90"/>
        </w:numPr>
        <w:spacing w:after="160" w:line="360" w:lineRule="auto"/>
        <w:jc w:val="both"/>
        <w:rPr>
          <w:rFonts w:eastAsia="Calibri" w:cstheme="minorHAnsi"/>
          <w:sz w:val="24"/>
          <w:szCs w:val="24"/>
          <w:lang w:val="en-US"/>
        </w:rPr>
      </w:pPr>
      <w:r w:rsidRPr="00BE7EF3">
        <w:rPr>
          <w:rFonts w:eastAsia="Calibri" w:cstheme="minorHAnsi"/>
          <w:b/>
          <w:sz w:val="24"/>
          <w:szCs w:val="24"/>
          <w:lang w:val="en-US"/>
        </w:rPr>
        <w:t>Palpation:</w:t>
      </w:r>
      <w:r w:rsidRPr="00BE7EF3">
        <w:rPr>
          <w:rFonts w:eastAsia="Calibri" w:cstheme="minorHAnsi"/>
          <w:sz w:val="24"/>
          <w:szCs w:val="24"/>
          <w:lang w:val="en-US"/>
        </w:rPr>
        <w:t xml:space="preserve"> Tenderness around the wound is to be expected but progressive pain and tenderness remote from the initial wound suggests intra peritoneal hollow viscus injury.  As with blunt injury, the reliability of clinical examination will be reduced when there are remote but distracting injuries or reduced consciousness (head injury, intoxication, sedating medication, spinal cord injury).</w:t>
      </w:r>
    </w:p>
    <w:p w14:paraId="5F22F7D3" w14:textId="77777777" w:rsidR="00AB3832" w:rsidRPr="00BE7EF3" w:rsidRDefault="00AB3832" w:rsidP="00AB3832">
      <w:pPr>
        <w:pStyle w:val="ListParagraph"/>
        <w:numPr>
          <w:ilvl w:val="0"/>
          <w:numId w:val="90"/>
        </w:numPr>
        <w:spacing w:after="160" w:line="360" w:lineRule="auto"/>
        <w:jc w:val="both"/>
        <w:rPr>
          <w:rFonts w:eastAsia="Calibri" w:cstheme="minorHAnsi"/>
          <w:sz w:val="24"/>
          <w:szCs w:val="24"/>
          <w:lang w:val="en-US"/>
        </w:rPr>
      </w:pPr>
      <w:r w:rsidRPr="00BE7EF3">
        <w:rPr>
          <w:rFonts w:eastAsia="Calibri" w:cstheme="minorHAnsi"/>
          <w:b/>
          <w:sz w:val="24"/>
          <w:szCs w:val="24"/>
          <w:lang w:val="en-US"/>
        </w:rPr>
        <w:t>Percussion and auscultation:</w:t>
      </w:r>
      <w:r w:rsidRPr="00BE7EF3">
        <w:rPr>
          <w:rFonts w:eastAsia="Calibri" w:cstheme="minorHAnsi"/>
          <w:i/>
          <w:sz w:val="24"/>
          <w:szCs w:val="24"/>
          <w:lang w:val="en-US"/>
        </w:rPr>
        <w:t xml:space="preserve"> </w:t>
      </w:r>
      <w:r w:rsidRPr="00BE7EF3">
        <w:rPr>
          <w:rFonts w:eastAsia="Calibri" w:cstheme="minorHAnsi"/>
          <w:sz w:val="24"/>
          <w:szCs w:val="24"/>
          <w:lang w:val="en-US"/>
        </w:rPr>
        <w:t>Add little to the examination.  The presence or absence of bowel sounds has no diagnostic value.</w:t>
      </w:r>
    </w:p>
    <w:p w14:paraId="5B8A556F" w14:textId="77777777" w:rsidR="00EF1112" w:rsidRPr="00BE7EF3" w:rsidRDefault="00EF1112" w:rsidP="00AB3832">
      <w:pPr>
        <w:spacing w:after="160" w:line="360" w:lineRule="auto"/>
        <w:contextualSpacing/>
        <w:jc w:val="both"/>
        <w:rPr>
          <w:rFonts w:eastAsia="Calibri" w:cstheme="minorHAnsi"/>
          <w:b/>
          <w:color w:val="2309BF"/>
          <w:sz w:val="24"/>
          <w:szCs w:val="24"/>
          <w:lang w:val="en-US"/>
        </w:rPr>
      </w:pPr>
    </w:p>
    <w:p w14:paraId="64FC6B53" w14:textId="77777777" w:rsidR="00AB3832" w:rsidRPr="00BE7EF3" w:rsidRDefault="00AB3832" w:rsidP="00AB3832">
      <w:pPr>
        <w:spacing w:after="160" w:line="360" w:lineRule="auto"/>
        <w:contextualSpacing/>
        <w:jc w:val="both"/>
        <w:rPr>
          <w:rFonts w:eastAsia="Calibri" w:cstheme="minorHAnsi"/>
          <w:b/>
          <w:color w:val="2309BF"/>
          <w:sz w:val="24"/>
          <w:szCs w:val="24"/>
          <w:lang w:val="en-US"/>
        </w:rPr>
      </w:pPr>
      <w:r w:rsidRPr="00BE7EF3">
        <w:rPr>
          <w:rFonts w:eastAsia="Calibri" w:cstheme="minorHAnsi"/>
          <w:b/>
          <w:color w:val="2309BF"/>
          <w:sz w:val="24"/>
          <w:szCs w:val="24"/>
          <w:lang w:val="en-US"/>
        </w:rPr>
        <w:t>Investigation</w:t>
      </w:r>
    </w:p>
    <w:p w14:paraId="42AE2D7D" w14:textId="77777777" w:rsidR="00AB3832" w:rsidRPr="00BE7EF3" w:rsidRDefault="00AB3832" w:rsidP="00AB3832">
      <w:pPr>
        <w:numPr>
          <w:ilvl w:val="0"/>
          <w:numId w:val="88"/>
        </w:numPr>
        <w:spacing w:after="160" w:line="360" w:lineRule="auto"/>
        <w:contextualSpacing/>
        <w:jc w:val="both"/>
        <w:rPr>
          <w:rFonts w:eastAsia="Calibri" w:cstheme="minorHAnsi"/>
          <w:sz w:val="24"/>
          <w:szCs w:val="24"/>
          <w:lang w:val="en-US"/>
        </w:rPr>
      </w:pPr>
      <w:r w:rsidRPr="00BE7EF3">
        <w:rPr>
          <w:rFonts w:eastAsia="Calibri" w:cstheme="minorHAnsi"/>
          <w:b/>
          <w:sz w:val="24"/>
          <w:szCs w:val="24"/>
          <w:lang w:val="en-US"/>
        </w:rPr>
        <w:t>Bloods:</w:t>
      </w:r>
      <w:r w:rsidRPr="00BE7EF3">
        <w:rPr>
          <w:rFonts w:eastAsia="Calibri" w:cstheme="minorHAnsi"/>
          <w:sz w:val="24"/>
          <w:szCs w:val="24"/>
          <w:lang w:val="en-US"/>
        </w:rPr>
        <w:t xml:space="preserve">  FBC, U&amp;E, clotting, venous gas and cross-match (with activation of Massive </w:t>
      </w:r>
      <w:proofErr w:type="spellStart"/>
      <w:r w:rsidRPr="00BE7EF3">
        <w:rPr>
          <w:rFonts w:eastAsia="Calibri" w:cstheme="minorHAnsi"/>
          <w:sz w:val="24"/>
          <w:szCs w:val="24"/>
          <w:lang w:val="en-US"/>
        </w:rPr>
        <w:t>Haemorrhage</w:t>
      </w:r>
      <w:proofErr w:type="spellEnd"/>
      <w:r w:rsidRPr="00BE7EF3">
        <w:rPr>
          <w:rFonts w:eastAsia="Calibri" w:cstheme="minorHAnsi"/>
          <w:sz w:val="24"/>
          <w:szCs w:val="24"/>
          <w:lang w:val="en-US"/>
        </w:rPr>
        <w:t xml:space="preserve"> Protocol if appropriate) should be taken for all significantly injured patients.   Consider a pregnancy test, if relevant.</w:t>
      </w:r>
    </w:p>
    <w:p w14:paraId="2F13E230" w14:textId="77777777" w:rsidR="00AB3832" w:rsidRPr="00BE7EF3" w:rsidRDefault="00AB3832" w:rsidP="00AB3832">
      <w:pPr>
        <w:numPr>
          <w:ilvl w:val="0"/>
          <w:numId w:val="88"/>
        </w:numPr>
        <w:spacing w:after="160" w:line="360" w:lineRule="auto"/>
        <w:contextualSpacing/>
        <w:jc w:val="both"/>
        <w:rPr>
          <w:rFonts w:eastAsia="Calibri" w:cstheme="minorHAnsi"/>
          <w:sz w:val="24"/>
          <w:szCs w:val="24"/>
          <w:lang w:val="en-US"/>
        </w:rPr>
      </w:pPr>
      <w:r w:rsidRPr="00BE7EF3">
        <w:rPr>
          <w:rFonts w:eastAsia="Calibri" w:cstheme="minorHAnsi"/>
          <w:b/>
          <w:sz w:val="24"/>
          <w:szCs w:val="24"/>
          <w:lang w:val="en-US"/>
        </w:rPr>
        <w:t xml:space="preserve">Ultrasound: </w:t>
      </w:r>
      <w:r w:rsidRPr="00BE7EF3">
        <w:rPr>
          <w:rFonts w:eastAsia="Calibri" w:cstheme="minorHAnsi"/>
          <w:color w:val="000000"/>
          <w:sz w:val="24"/>
          <w:szCs w:val="24"/>
          <w:lang w:val="en-US"/>
        </w:rPr>
        <w:t xml:space="preserve">FAST scan has no role in the exclusion of hollow viscus injury. </w:t>
      </w:r>
    </w:p>
    <w:p w14:paraId="28D913BF" w14:textId="77777777" w:rsidR="00AB3832" w:rsidRPr="00BE7EF3" w:rsidRDefault="00AB3832" w:rsidP="00AB3832">
      <w:pPr>
        <w:numPr>
          <w:ilvl w:val="0"/>
          <w:numId w:val="88"/>
        </w:numPr>
        <w:spacing w:after="160" w:line="360" w:lineRule="auto"/>
        <w:contextualSpacing/>
        <w:jc w:val="both"/>
        <w:rPr>
          <w:rFonts w:eastAsia="Calibri" w:cstheme="minorHAnsi"/>
          <w:sz w:val="24"/>
          <w:szCs w:val="24"/>
          <w:lang w:val="en-US"/>
        </w:rPr>
      </w:pPr>
      <w:r w:rsidRPr="00BE7EF3">
        <w:rPr>
          <w:rFonts w:eastAsia="Calibri" w:cstheme="minorHAnsi"/>
          <w:b/>
          <w:sz w:val="24"/>
          <w:szCs w:val="24"/>
          <w:lang w:val="en-US"/>
        </w:rPr>
        <w:t>CT scan:</w:t>
      </w:r>
      <w:r w:rsidRPr="00BE7EF3">
        <w:rPr>
          <w:rFonts w:eastAsia="Calibri" w:cstheme="minorHAnsi"/>
          <w:sz w:val="24"/>
          <w:szCs w:val="24"/>
          <w:lang w:val="en-US"/>
        </w:rPr>
        <w:t xml:space="preserve"> discussed in the management section below.</w:t>
      </w:r>
    </w:p>
    <w:p w14:paraId="2AD744BB" w14:textId="77777777" w:rsidR="00AB3832" w:rsidRDefault="00AB3832" w:rsidP="00AB3832">
      <w:pPr>
        <w:spacing w:after="160" w:line="360" w:lineRule="auto"/>
        <w:contextualSpacing/>
        <w:jc w:val="both"/>
        <w:rPr>
          <w:rFonts w:eastAsia="Calibri" w:cstheme="minorHAnsi"/>
          <w:b/>
          <w:color w:val="2309BF"/>
          <w:sz w:val="24"/>
          <w:szCs w:val="24"/>
          <w:lang w:val="en-US"/>
        </w:rPr>
      </w:pPr>
    </w:p>
    <w:p w14:paraId="1F747235" w14:textId="77777777" w:rsidR="00BE7EF3" w:rsidRDefault="00BE7EF3" w:rsidP="00AB3832">
      <w:pPr>
        <w:spacing w:after="160" w:line="360" w:lineRule="auto"/>
        <w:contextualSpacing/>
        <w:jc w:val="both"/>
        <w:rPr>
          <w:rFonts w:eastAsia="Calibri" w:cstheme="minorHAnsi"/>
          <w:b/>
          <w:color w:val="2309BF"/>
          <w:sz w:val="24"/>
          <w:szCs w:val="24"/>
          <w:lang w:val="en-US"/>
        </w:rPr>
      </w:pPr>
    </w:p>
    <w:p w14:paraId="514E1E8A" w14:textId="77777777" w:rsidR="00AB3832" w:rsidRPr="00BE7EF3" w:rsidRDefault="00AB3832" w:rsidP="00AB3832">
      <w:pPr>
        <w:spacing w:after="160" w:line="360" w:lineRule="auto"/>
        <w:contextualSpacing/>
        <w:jc w:val="both"/>
        <w:rPr>
          <w:rFonts w:eastAsia="Calibri" w:cstheme="minorHAnsi"/>
          <w:b/>
          <w:color w:val="2309BF"/>
          <w:sz w:val="24"/>
          <w:szCs w:val="24"/>
          <w:lang w:val="en-US"/>
        </w:rPr>
      </w:pPr>
      <w:r w:rsidRPr="00BE7EF3">
        <w:rPr>
          <w:rFonts w:eastAsia="Calibri" w:cstheme="minorHAnsi"/>
          <w:b/>
          <w:color w:val="2309BF"/>
          <w:sz w:val="24"/>
          <w:szCs w:val="24"/>
          <w:lang w:val="en-US"/>
        </w:rPr>
        <w:t>Management of penetrating injuries.</w:t>
      </w:r>
    </w:p>
    <w:p w14:paraId="3CF67251" w14:textId="77777777" w:rsidR="00AB3832" w:rsidRPr="00BE7EF3" w:rsidRDefault="00AB3832" w:rsidP="00AB3832">
      <w:pPr>
        <w:spacing w:after="160" w:line="360" w:lineRule="auto"/>
        <w:contextualSpacing/>
        <w:jc w:val="both"/>
        <w:rPr>
          <w:rFonts w:eastAsia="Calibri" w:cstheme="minorHAnsi"/>
          <w:b/>
          <w:sz w:val="24"/>
          <w:szCs w:val="24"/>
          <w:lang w:val="en-US"/>
        </w:rPr>
      </w:pPr>
      <w:r w:rsidRPr="00BE7EF3">
        <w:rPr>
          <w:rFonts w:eastAsia="Calibri" w:cstheme="minorHAnsi"/>
          <w:b/>
          <w:sz w:val="24"/>
          <w:szCs w:val="24"/>
          <w:lang w:val="en-US"/>
        </w:rPr>
        <w:t xml:space="preserve">The guidance below covers expected management at the Major Trauma Centre. At a Trauma Unit management may be limited by the available resources. When the treatment necessary exceeds the TUs capabilities the patient will require transfer to the MTC. </w:t>
      </w:r>
      <w:r w:rsidRPr="00BE7EF3">
        <w:rPr>
          <w:rFonts w:cstheme="minorHAnsi"/>
          <w:b/>
          <w:bCs/>
          <w:sz w:val="24"/>
          <w:szCs w:val="24"/>
        </w:rPr>
        <w:t>The MTC can be contacted for advice at any time.</w:t>
      </w:r>
    </w:p>
    <w:p w14:paraId="558C73A1" w14:textId="77777777" w:rsidR="00AB3832" w:rsidRPr="00BE7EF3" w:rsidRDefault="00AB3832" w:rsidP="00AB3832">
      <w:pPr>
        <w:spacing w:after="160" w:line="360" w:lineRule="auto"/>
        <w:contextualSpacing/>
        <w:jc w:val="both"/>
        <w:rPr>
          <w:rFonts w:eastAsia="Calibri" w:cstheme="minorHAnsi"/>
          <w:b/>
          <w:sz w:val="24"/>
          <w:szCs w:val="24"/>
          <w:lang w:val="en-US"/>
        </w:rPr>
      </w:pPr>
    </w:p>
    <w:p w14:paraId="083CB80A" w14:textId="77777777" w:rsidR="00AB3832" w:rsidRPr="00BE7EF3" w:rsidRDefault="00AB3832" w:rsidP="00AB3832">
      <w:pPr>
        <w:spacing w:after="160" w:line="360" w:lineRule="auto"/>
        <w:contextualSpacing/>
        <w:jc w:val="both"/>
        <w:rPr>
          <w:rFonts w:eastAsia="Calibri" w:cstheme="minorHAnsi"/>
          <w:b/>
          <w:color w:val="2309BF"/>
          <w:sz w:val="24"/>
          <w:szCs w:val="24"/>
          <w:lang w:val="en-US"/>
        </w:rPr>
      </w:pPr>
      <w:r w:rsidRPr="00BE7EF3">
        <w:rPr>
          <w:rFonts w:eastAsia="Calibri" w:cstheme="minorHAnsi"/>
          <w:b/>
          <w:color w:val="2309BF"/>
          <w:sz w:val="24"/>
          <w:szCs w:val="24"/>
          <w:lang w:val="en-US"/>
        </w:rPr>
        <w:lastRenderedPageBreak/>
        <w:t xml:space="preserve">Management of stab wounds (see </w:t>
      </w:r>
      <w:hyperlink w:anchor="Appendix4b" w:history="1">
        <w:r w:rsidR="00780FBB" w:rsidRPr="00780FBB">
          <w:rPr>
            <w:rStyle w:val="Hyperlink"/>
            <w:rFonts w:eastAsia="Calibri" w:cstheme="minorHAnsi"/>
            <w:b/>
            <w:sz w:val="24"/>
            <w:szCs w:val="24"/>
            <w:lang w:val="en-US"/>
          </w:rPr>
          <w:t>Appendix 4b</w:t>
        </w:r>
      </w:hyperlink>
      <w:r w:rsidRPr="00BE7EF3">
        <w:rPr>
          <w:rFonts w:eastAsia="Calibri" w:cstheme="minorHAnsi"/>
          <w:b/>
          <w:color w:val="2309BF"/>
          <w:sz w:val="24"/>
          <w:szCs w:val="24"/>
          <w:lang w:val="en-US"/>
        </w:rPr>
        <w:t>)</w:t>
      </w:r>
    </w:p>
    <w:p w14:paraId="1C6D153A" w14:textId="77777777" w:rsidR="00AB3832" w:rsidRPr="00BE7EF3" w:rsidRDefault="00AB3832" w:rsidP="00AB3832">
      <w:pPr>
        <w:numPr>
          <w:ilvl w:val="0"/>
          <w:numId w:val="91"/>
        </w:numPr>
        <w:spacing w:after="200" w:line="360" w:lineRule="auto"/>
        <w:contextualSpacing/>
        <w:jc w:val="both"/>
        <w:rPr>
          <w:rFonts w:eastAsia="Calibri" w:cstheme="minorHAnsi"/>
          <w:sz w:val="24"/>
          <w:szCs w:val="24"/>
          <w:lang w:val="en-US"/>
        </w:rPr>
      </w:pPr>
      <w:r w:rsidRPr="00BE7EF3">
        <w:rPr>
          <w:rFonts w:eastAsia="Calibri" w:cstheme="minorHAnsi"/>
          <w:sz w:val="24"/>
          <w:szCs w:val="24"/>
          <w:lang w:val="en-US"/>
        </w:rPr>
        <w:t>For patients with penetrating injury, balanced resuscitation should be utilized unless contraindicated (traumatic brain injury).</w:t>
      </w:r>
    </w:p>
    <w:p w14:paraId="1FD41163" w14:textId="77777777" w:rsidR="00AB3832" w:rsidRPr="00BE7EF3" w:rsidRDefault="00AB3832" w:rsidP="00AB3832">
      <w:pPr>
        <w:pStyle w:val="Default"/>
        <w:numPr>
          <w:ilvl w:val="0"/>
          <w:numId w:val="94"/>
        </w:numPr>
        <w:spacing w:line="360" w:lineRule="auto"/>
        <w:contextualSpacing/>
        <w:jc w:val="both"/>
        <w:rPr>
          <w:rFonts w:asciiTheme="minorHAnsi" w:hAnsiTheme="minorHAnsi" w:cstheme="minorHAnsi"/>
          <w:color w:val="auto"/>
        </w:rPr>
      </w:pPr>
      <w:r w:rsidRPr="00BE7EF3">
        <w:rPr>
          <w:rFonts w:asciiTheme="minorHAnsi" w:eastAsia="Calibri" w:hAnsiTheme="minorHAnsi" w:cstheme="minorHAnsi"/>
          <w:lang w:val="en-US"/>
        </w:rPr>
        <w:t xml:space="preserve">The management of patients with unresponsive or transiently responding shock/hypotension is challenging. </w:t>
      </w:r>
      <w:r w:rsidRPr="00BE7EF3">
        <w:rPr>
          <w:rFonts w:asciiTheme="minorHAnsi" w:hAnsiTheme="minorHAnsi" w:cstheme="minorHAnsi"/>
          <w:color w:val="auto"/>
        </w:rPr>
        <w:t xml:space="preserve">Early consideration must be given to blood transfusion in the </w:t>
      </w:r>
      <w:hyperlink w:anchor="Haemorrhage" w:history="1">
        <w:r w:rsidRPr="001A235D">
          <w:rPr>
            <w:rStyle w:val="Hyperlink"/>
            <w:rFonts w:asciiTheme="minorHAnsi" w:hAnsiTheme="minorHAnsi" w:cstheme="minorHAnsi"/>
          </w:rPr>
          <w:t>Massive Haemorrhage</w:t>
        </w:r>
      </w:hyperlink>
      <w:r w:rsidRPr="00BE7EF3">
        <w:rPr>
          <w:rFonts w:asciiTheme="minorHAnsi" w:hAnsiTheme="minorHAnsi" w:cstheme="minorHAnsi"/>
          <w:color w:val="auto"/>
        </w:rPr>
        <w:t xml:space="preserve"> Protocol. Any patient considered to have significant ongoing intra-abdominal bleeding requires rapid transfer to theatre for resuscitation and potential damage control surgery - laparotomy, pelvic stabilization, thoracotomy etc. </w:t>
      </w:r>
    </w:p>
    <w:p w14:paraId="25ABC91A" w14:textId="77777777" w:rsidR="00AB3832" w:rsidRPr="00BE7EF3" w:rsidRDefault="00AB3832" w:rsidP="00AB3832">
      <w:pPr>
        <w:pStyle w:val="Default"/>
        <w:numPr>
          <w:ilvl w:val="0"/>
          <w:numId w:val="91"/>
        </w:numPr>
        <w:spacing w:line="360" w:lineRule="auto"/>
        <w:contextualSpacing/>
        <w:jc w:val="both"/>
        <w:rPr>
          <w:rFonts w:asciiTheme="minorHAnsi" w:hAnsiTheme="minorHAnsi" w:cstheme="minorHAnsi"/>
          <w:color w:val="auto"/>
        </w:rPr>
      </w:pPr>
      <w:r w:rsidRPr="00BE7EF3">
        <w:rPr>
          <w:rFonts w:asciiTheme="minorHAnsi" w:eastAsia="Calibri" w:hAnsiTheme="minorHAnsi" w:cstheme="minorHAnsi"/>
          <w:lang w:val="en-US"/>
        </w:rPr>
        <w:t xml:space="preserve">Other causes of shock need to be considered e.g. bleeding (chest, limbs, bleeding from wounds), tension pneumothorax and cardiac tamponade.  Clearly, patients with multiple wounds can have life threatening pathology in more than one body cavity. </w:t>
      </w:r>
    </w:p>
    <w:p w14:paraId="4A4E9E85" w14:textId="77777777" w:rsidR="00AB3832" w:rsidRPr="00BE7EF3" w:rsidRDefault="00AB3832" w:rsidP="00AB3832">
      <w:pPr>
        <w:numPr>
          <w:ilvl w:val="0"/>
          <w:numId w:val="89"/>
        </w:numPr>
        <w:spacing w:after="160" w:line="360" w:lineRule="auto"/>
        <w:contextualSpacing/>
        <w:jc w:val="both"/>
        <w:rPr>
          <w:rFonts w:eastAsia="Calibri" w:cstheme="minorHAnsi"/>
          <w:sz w:val="24"/>
          <w:szCs w:val="24"/>
          <w:lang w:val="en-US"/>
        </w:rPr>
      </w:pPr>
      <w:r w:rsidRPr="00BE7EF3">
        <w:rPr>
          <w:rFonts w:eastAsia="Calibri" w:cstheme="minorHAnsi"/>
          <w:sz w:val="24"/>
          <w:szCs w:val="24"/>
          <w:lang w:val="en-US"/>
        </w:rPr>
        <w:t>Patients with foreign bodies (</w:t>
      </w:r>
      <w:proofErr w:type="spellStart"/>
      <w:r w:rsidRPr="00BE7EF3">
        <w:rPr>
          <w:rFonts w:eastAsia="Calibri" w:cstheme="minorHAnsi"/>
          <w:sz w:val="24"/>
          <w:szCs w:val="24"/>
          <w:lang w:val="en-US"/>
        </w:rPr>
        <w:t>eg</w:t>
      </w:r>
      <w:proofErr w:type="spellEnd"/>
      <w:r w:rsidRPr="00BE7EF3">
        <w:rPr>
          <w:rFonts w:eastAsia="Calibri" w:cstheme="minorHAnsi"/>
          <w:sz w:val="24"/>
          <w:szCs w:val="24"/>
          <w:lang w:val="en-US"/>
        </w:rPr>
        <w:t xml:space="preserve">. knives) protruding from the abdomen require these to be removed in the operating theatre with the abdomen open if there is any concern that they may have entered the peritoneum.  Preoperative CT scan is likely to be degraded by artefact but may be considered if findings would influence surgical approach. </w:t>
      </w:r>
    </w:p>
    <w:p w14:paraId="4524375F" w14:textId="77777777" w:rsidR="00AB3832" w:rsidRPr="00BE7EF3" w:rsidRDefault="00AB3832" w:rsidP="00AB3832">
      <w:pPr>
        <w:numPr>
          <w:ilvl w:val="0"/>
          <w:numId w:val="89"/>
        </w:numPr>
        <w:spacing w:after="160" w:line="360" w:lineRule="auto"/>
        <w:contextualSpacing/>
        <w:jc w:val="both"/>
        <w:rPr>
          <w:rFonts w:eastAsia="Calibri" w:cstheme="minorHAnsi"/>
          <w:color w:val="000000"/>
          <w:sz w:val="24"/>
          <w:szCs w:val="24"/>
          <w:lang w:val="en-US"/>
        </w:rPr>
      </w:pPr>
      <w:r w:rsidRPr="00BE7EF3">
        <w:rPr>
          <w:rFonts w:eastAsia="Calibri" w:cstheme="minorHAnsi"/>
          <w:sz w:val="24"/>
          <w:szCs w:val="24"/>
          <w:lang w:val="en-US"/>
        </w:rPr>
        <w:t xml:space="preserve">Patients without overt shock but with clinical signs of peritonitis or bowel / omental evisceration </w:t>
      </w:r>
      <w:r w:rsidRPr="00BE7EF3">
        <w:rPr>
          <w:rFonts w:eastAsia="Calibri" w:cstheme="minorHAnsi"/>
          <w:color w:val="000000"/>
          <w:sz w:val="24"/>
          <w:szCs w:val="24"/>
          <w:lang w:val="en-US"/>
        </w:rPr>
        <w:t>require a laparotomy (bowel evisceration is associated with a 75% risk of bowel perforation).  A preoperative CT scan may be undertaken but the trauma scan is poor at detecting fresh hollow organ injury.</w:t>
      </w:r>
    </w:p>
    <w:p w14:paraId="196D164C" w14:textId="77777777" w:rsidR="00AB3832" w:rsidRPr="00BE7EF3" w:rsidRDefault="00AB3832" w:rsidP="00AB3832">
      <w:pPr>
        <w:numPr>
          <w:ilvl w:val="0"/>
          <w:numId w:val="89"/>
        </w:numPr>
        <w:spacing w:after="160" w:line="360" w:lineRule="auto"/>
        <w:contextualSpacing/>
        <w:jc w:val="both"/>
        <w:rPr>
          <w:rFonts w:eastAsia="Calibri" w:cstheme="minorHAnsi"/>
          <w:color w:val="000000"/>
          <w:sz w:val="24"/>
          <w:szCs w:val="24"/>
          <w:lang w:val="en-US"/>
        </w:rPr>
      </w:pPr>
      <w:r w:rsidRPr="00BE7EF3">
        <w:rPr>
          <w:rFonts w:eastAsia="Calibri" w:cstheme="minorHAnsi"/>
          <w:sz w:val="24"/>
          <w:szCs w:val="24"/>
          <w:lang w:val="en-US"/>
        </w:rPr>
        <w:t>Patients without overt shock but with an unreliable examination e.g. brain injury, spinal cord injury, intoxication or sedating medication, should have further investigation with a CT scan or undergo exploratory laparotomy / laparoscopy.</w:t>
      </w:r>
    </w:p>
    <w:p w14:paraId="08FD32D6" w14:textId="77777777" w:rsidR="00AB3832" w:rsidRPr="00BE7EF3" w:rsidRDefault="00AB3832" w:rsidP="00AB3832">
      <w:pPr>
        <w:spacing w:after="160" w:line="360" w:lineRule="auto"/>
        <w:ind w:left="360"/>
        <w:contextualSpacing/>
        <w:jc w:val="both"/>
        <w:rPr>
          <w:rFonts w:eastAsia="Calibri" w:cstheme="minorHAnsi"/>
          <w:sz w:val="24"/>
          <w:szCs w:val="24"/>
          <w:lang w:val="en-US"/>
        </w:rPr>
      </w:pPr>
      <w:r w:rsidRPr="00BE7EF3">
        <w:rPr>
          <w:rFonts w:eastAsia="Calibri" w:cstheme="minorHAnsi"/>
          <w:sz w:val="24"/>
          <w:szCs w:val="24"/>
          <w:lang w:val="en-US"/>
        </w:rPr>
        <w:t>Patients who are conscious, cooperative and can concentrate and with no signs of peritonitis or diffuse abdominal tenderness (away from the wounding site) may be initially managed non-operatively.  A CT scan should be performed to help quantify the depth of injury.  Repeated / serial examination preferably by the same experienced surgeon should be undertaken.  At hand over, ideally both surgeons should examine the patient together and agree on the clinical findings.  Any injury is likely to reveal itself within 24 hours or so after this time.</w:t>
      </w:r>
    </w:p>
    <w:p w14:paraId="7493EB52" w14:textId="77777777" w:rsidR="00AB3832" w:rsidRPr="00BE7EF3" w:rsidRDefault="00AB3832" w:rsidP="00AB3832">
      <w:pPr>
        <w:numPr>
          <w:ilvl w:val="0"/>
          <w:numId w:val="92"/>
        </w:numPr>
        <w:spacing w:after="160" w:line="360" w:lineRule="auto"/>
        <w:contextualSpacing/>
        <w:jc w:val="both"/>
        <w:rPr>
          <w:rFonts w:eastAsia="Calibri" w:cstheme="minorHAnsi"/>
          <w:sz w:val="24"/>
          <w:szCs w:val="24"/>
          <w:lang w:val="en-US"/>
        </w:rPr>
      </w:pPr>
      <w:r w:rsidRPr="00BE7EF3">
        <w:rPr>
          <w:rFonts w:eastAsia="Calibri" w:cstheme="minorHAnsi"/>
          <w:sz w:val="24"/>
          <w:szCs w:val="24"/>
          <w:lang w:val="en-US"/>
        </w:rPr>
        <w:t xml:space="preserve">Stab wounds can be classified as anterior (between the anterior axillary lines), flank (between anterior and posterior axillary lines) and posterior (posterior to posterior axillary line).  In general, one third of anterior wounds do not penetrate the peritoneum.  One third penetrate </w:t>
      </w:r>
      <w:r w:rsidRPr="00BE7EF3">
        <w:rPr>
          <w:rFonts w:eastAsia="Calibri" w:cstheme="minorHAnsi"/>
          <w:sz w:val="24"/>
          <w:szCs w:val="24"/>
          <w:lang w:val="en-US"/>
        </w:rPr>
        <w:lastRenderedPageBreak/>
        <w:t xml:space="preserve">the peritoneum but no not require intervention, and the remaining third penetrate the peritoneum and require surgical repair.  Anterior abdominal wounds may be explored under local </w:t>
      </w:r>
      <w:proofErr w:type="spellStart"/>
      <w:r w:rsidRPr="00BE7EF3">
        <w:rPr>
          <w:rFonts w:eastAsia="Calibri" w:cstheme="minorHAnsi"/>
          <w:sz w:val="24"/>
          <w:szCs w:val="24"/>
          <w:lang w:val="en-US"/>
        </w:rPr>
        <w:t>anaesthetic</w:t>
      </w:r>
      <w:proofErr w:type="spellEnd"/>
      <w:r w:rsidRPr="00BE7EF3">
        <w:rPr>
          <w:rFonts w:eastAsia="Calibri" w:cstheme="minorHAnsi"/>
          <w:sz w:val="24"/>
          <w:szCs w:val="24"/>
          <w:lang w:val="en-US"/>
        </w:rPr>
        <w:t xml:space="preserve"> within the emergency department if the child is older and compliant or under a general </w:t>
      </w:r>
      <w:proofErr w:type="spellStart"/>
      <w:r w:rsidRPr="00BE7EF3">
        <w:rPr>
          <w:rFonts w:eastAsia="Calibri" w:cstheme="minorHAnsi"/>
          <w:sz w:val="24"/>
          <w:szCs w:val="24"/>
          <w:lang w:val="en-US"/>
        </w:rPr>
        <w:t>anaesthetic</w:t>
      </w:r>
      <w:proofErr w:type="spellEnd"/>
      <w:r w:rsidRPr="00BE7EF3">
        <w:rPr>
          <w:rFonts w:eastAsia="Calibri" w:cstheme="minorHAnsi"/>
          <w:sz w:val="24"/>
          <w:szCs w:val="24"/>
          <w:lang w:val="en-US"/>
        </w:rPr>
        <w:t xml:space="preserve"> in theatre.  If the wound extends deep to the anterior fascia then the chance of intraperitoneal hollow viscus perforation is increased although not definite.    Patients with posterior fascial penetration proceed to theatre to laparotomy / laparoscopy.  Hollow viscus injury can be difficult to detect even at laparotomy.  </w:t>
      </w:r>
      <w:r w:rsidRPr="00BE7EF3">
        <w:rPr>
          <w:rFonts w:cstheme="minorHAnsi"/>
          <w:sz w:val="24"/>
          <w:szCs w:val="24"/>
        </w:rPr>
        <w:t>Exclusion of visceral injury by laparoscopy should only be performed by those with significant experience in such cases.</w:t>
      </w:r>
    </w:p>
    <w:p w14:paraId="69B78FBD" w14:textId="77777777" w:rsidR="00AB3832" w:rsidRPr="00BE7EF3" w:rsidRDefault="00AB3832" w:rsidP="00AB3832">
      <w:pPr>
        <w:numPr>
          <w:ilvl w:val="0"/>
          <w:numId w:val="92"/>
        </w:numPr>
        <w:spacing w:after="160" w:line="360" w:lineRule="auto"/>
        <w:contextualSpacing/>
        <w:jc w:val="both"/>
        <w:rPr>
          <w:rFonts w:eastAsia="Calibri" w:cstheme="minorHAnsi"/>
          <w:sz w:val="24"/>
          <w:szCs w:val="24"/>
          <w:lang w:val="en-US"/>
        </w:rPr>
      </w:pPr>
      <w:r w:rsidRPr="00BE7EF3">
        <w:rPr>
          <w:rFonts w:eastAsia="Calibri" w:cstheme="minorHAnsi"/>
          <w:sz w:val="24"/>
          <w:szCs w:val="24"/>
          <w:lang w:val="en-US"/>
        </w:rPr>
        <w:t>Exploration of flank and posterior wounds is rarely indicated.  In the absence of a need for immediate laparotomy (shock or generalized peritonitis), a CT scan helps to determine depth of injury.</w:t>
      </w:r>
    </w:p>
    <w:p w14:paraId="421235AE" w14:textId="77777777" w:rsidR="00AB3832" w:rsidRPr="00BE7EF3" w:rsidRDefault="00AB3832" w:rsidP="00AB3832">
      <w:pPr>
        <w:numPr>
          <w:ilvl w:val="0"/>
          <w:numId w:val="92"/>
        </w:numPr>
        <w:spacing w:after="160" w:line="360" w:lineRule="auto"/>
        <w:contextualSpacing/>
        <w:jc w:val="both"/>
        <w:rPr>
          <w:rFonts w:eastAsia="Calibri" w:cstheme="minorHAnsi"/>
          <w:sz w:val="24"/>
          <w:szCs w:val="24"/>
          <w:lang w:val="en-US"/>
        </w:rPr>
      </w:pPr>
      <w:r w:rsidRPr="00BE7EF3">
        <w:rPr>
          <w:rFonts w:eastAsia="Calibri" w:cstheme="minorHAnsi"/>
          <w:sz w:val="24"/>
          <w:szCs w:val="24"/>
          <w:lang w:val="en-US"/>
        </w:rPr>
        <w:t xml:space="preserve">Thoraco-abdominal injuries can present a diagnostic dilemma as penetrating wounds between the nipples and costal margin may damage structures within the chest cavity, within the peritoneal cavity and make a hole in the intervening diaphragm. </w:t>
      </w:r>
    </w:p>
    <w:p w14:paraId="4FA21CE4" w14:textId="77777777" w:rsidR="00AB3832" w:rsidRPr="00BE7EF3" w:rsidRDefault="00AB3832" w:rsidP="00AB3832">
      <w:pPr>
        <w:numPr>
          <w:ilvl w:val="1"/>
          <w:numId w:val="92"/>
        </w:numPr>
        <w:spacing w:after="160" w:line="360" w:lineRule="auto"/>
        <w:contextualSpacing/>
        <w:jc w:val="both"/>
        <w:rPr>
          <w:rFonts w:eastAsia="Calibri" w:cstheme="minorHAnsi"/>
          <w:sz w:val="24"/>
          <w:szCs w:val="24"/>
          <w:lang w:val="en-US"/>
        </w:rPr>
      </w:pPr>
      <w:r w:rsidRPr="00BE7EF3">
        <w:rPr>
          <w:rFonts w:eastAsia="Calibri" w:cstheme="minorHAnsi"/>
          <w:sz w:val="24"/>
          <w:szCs w:val="24"/>
          <w:lang w:val="en-US"/>
        </w:rPr>
        <w:t>Patients with unresponsive or transiently responding shock and considered to have ongoing abdominal or thoracic bleeding require rapid chest drain insertion and transfer to theatre for laparotomy and any other surgery required to control bleeding.</w:t>
      </w:r>
    </w:p>
    <w:p w14:paraId="193B3803" w14:textId="77777777" w:rsidR="00AB3832" w:rsidRPr="00BE7EF3" w:rsidRDefault="00AB3832" w:rsidP="00AB3832">
      <w:pPr>
        <w:numPr>
          <w:ilvl w:val="1"/>
          <w:numId w:val="92"/>
        </w:numPr>
        <w:spacing w:after="160" w:line="360" w:lineRule="auto"/>
        <w:contextualSpacing/>
        <w:jc w:val="both"/>
        <w:rPr>
          <w:rFonts w:eastAsia="Calibri" w:cstheme="minorHAnsi"/>
          <w:sz w:val="24"/>
          <w:szCs w:val="24"/>
          <w:lang w:val="en-US"/>
        </w:rPr>
      </w:pPr>
      <w:r w:rsidRPr="00BE7EF3">
        <w:rPr>
          <w:rFonts w:eastAsia="Calibri" w:cstheme="minorHAnsi"/>
          <w:sz w:val="24"/>
          <w:szCs w:val="24"/>
          <w:lang w:val="en-US"/>
        </w:rPr>
        <w:t>For patients without overt shock, a CT scan will give some indication of the trajectory of the wound although may not detect incised wounds of the diaphragm.  If concern regarding diaphragmatic injury persists, then a laparoscopy/laparotomy should be performed.  If an injury is detected, then the defect should be repaired, and visceral injury excluded.  Both diaphragmatic repair and exclusion of visceral injury are possible laparoscopically but only by those with appropriate skills and experience.</w:t>
      </w:r>
    </w:p>
    <w:p w14:paraId="0FE0951F" w14:textId="77777777" w:rsidR="00AB3832" w:rsidRDefault="00AB3832" w:rsidP="00AB3832">
      <w:pPr>
        <w:spacing w:after="160" w:line="259" w:lineRule="auto"/>
        <w:contextualSpacing/>
        <w:rPr>
          <w:rFonts w:eastAsia="Calibri" w:cstheme="minorHAnsi"/>
          <w:b/>
          <w:sz w:val="24"/>
          <w:szCs w:val="24"/>
          <w:lang w:val="en-US"/>
        </w:rPr>
      </w:pPr>
    </w:p>
    <w:p w14:paraId="35C58B6C" w14:textId="77777777" w:rsidR="00BE7EF3" w:rsidRDefault="00BE7EF3" w:rsidP="00AB3832">
      <w:pPr>
        <w:spacing w:after="160" w:line="259" w:lineRule="auto"/>
        <w:contextualSpacing/>
        <w:rPr>
          <w:rFonts w:eastAsia="Calibri" w:cstheme="minorHAnsi"/>
          <w:b/>
          <w:sz w:val="24"/>
          <w:szCs w:val="24"/>
          <w:lang w:val="en-US"/>
        </w:rPr>
      </w:pPr>
    </w:p>
    <w:p w14:paraId="76827ACF" w14:textId="77777777" w:rsidR="00BE7EF3" w:rsidRPr="00BE7EF3" w:rsidRDefault="00BE7EF3" w:rsidP="00AB3832">
      <w:pPr>
        <w:spacing w:after="160" w:line="259" w:lineRule="auto"/>
        <w:contextualSpacing/>
        <w:rPr>
          <w:rFonts w:eastAsia="Calibri" w:cstheme="minorHAnsi"/>
          <w:b/>
          <w:sz w:val="24"/>
          <w:szCs w:val="24"/>
          <w:lang w:val="en-US"/>
        </w:rPr>
      </w:pPr>
    </w:p>
    <w:p w14:paraId="06AE4978" w14:textId="77777777" w:rsidR="00EF1112" w:rsidRPr="00BE7EF3" w:rsidRDefault="00AB3832" w:rsidP="00AB3832">
      <w:pPr>
        <w:spacing w:after="160" w:line="360" w:lineRule="auto"/>
        <w:contextualSpacing/>
        <w:jc w:val="both"/>
        <w:rPr>
          <w:rFonts w:eastAsia="Calibri" w:cstheme="minorHAnsi"/>
          <w:b/>
          <w:color w:val="2309BF"/>
          <w:sz w:val="24"/>
          <w:szCs w:val="24"/>
          <w:lang w:val="en-US"/>
        </w:rPr>
      </w:pPr>
      <w:r w:rsidRPr="00BE7EF3">
        <w:rPr>
          <w:rFonts w:eastAsia="Calibri" w:cstheme="minorHAnsi"/>
          <w:b/>
          <w:color w:val="2309BF"/>
          <w:sz w:val="24"/>
          <w:szCs w:val="24"/>
          <w:lang w:val="en-US"/>
        </w:rPr>
        <w:t xml:space="preserve">Management of low velocity (hand gun / shotgun) gunshot wounds (see </w:t>
      </w:r>
      <w:hyperlink w:anchor="Appendix4c" w:history="1">
        <w:r w:rsidR="00780FBB" w:rsidRPr="00780FBB">
          <w:rPr>
            <w:rStyle w:val="Hyperlink"/>
            <w:rFonts w:eastAsia="Calibri" w:cstheme="minorHAnsi"/>
            <w:b/>
            <w:sz w:val="24"/>
            <w:szCs w:val="24"/>
            <w:lang w:val="en-US"/>
          </w:rPr>
          <w:t>Appendix 4c</w:t>
        </w:r>
      </w:hyperlink>
      <w:r w:rsidRPr="00BE7EF3">
        <w:rPr>
          <w:rFonts w:eastAsia="Calibri" w:cstheme="minorHAnsi"/>
          <w:b/>
          <w:color w:val="2309BF"/>
          <w:sz w:val="24"/>
          <w:szCs w:val="24"/>
          <w:lang w:val="en-US"/>
        </w:rPr>
        <w:t>)</w:t>
      </w:r>
    </w:p>
    <w:p w14:paraId="67453438" w14:textId="77777777" w:rsidR="00AB3832" w:rsidRPr="00BE7EF3" w:rsidRDefault="00AB3832" w:rsidP="00AB3832">
      <w:pPr>
        <w:numPr>
          <w:ilvl w:val="0"/>
          <w:numId w:val="93"/>
        </w:numPr>
        <w:spacing w:after="160" w:line="360" w:lineRule="auto"/>
        <w:contextualSpacing/>
        <w:jc w:val="both"/>
        <w:rPr>
          <w:rFonts w:eastAsia="Calibri" w:cstheme="minorHAnsi"/>
          <w:sz w:val="24"/>
          <w:szCs w:val="24"/>
        </w:rPr>
      </w:pPr>
      <w:r w:rsidRPr="00BE7EF3">
        <w:rPr>
          <w:rFonts w:eastAsia="Calibri" w:cstheme="minorHAnsi"/>
          <w:sz w:val="24"/>
          <w:szCs w:val="24"/>
        </w:rPr>
        <w:t>These are extremely rare in the paediatric age range and management should follow adult guidelines.</w:t>
      </w:r>
    </w:p>
    <w:p w14:paraId="64F127F3" w14:textId="77777777" w:rsidR="00D532C1" w:rsidRPr="00D532C1" w:rsidRDefault="00AB3832" w:rsidP="00AB3832">
      <w:pPr>
        <w:pStyle w:val="ListParagraph"/>
        <w:numPr>
          <w:ilvl w:val="0"/>
          <w:numId w:val="93"/>
        </w:numPr>
        <w:spacing w:after="200" w:line="360" w:lineRule="auto"/>
        <w:jc w:val="both"/>
        <w:rPr>
          <w:rFonts w:eastAsia="Calibri" w:cstheme="minorHAnsi"/>
          <w:b/>
          <w:sz w:val="24"/>
          <w:szCs w:val="24"/>
          <w:lang w:val="en-US"/>
        </w:rPr>
      </w:pPr>
      <w:r w:rsidRPr="00BE7EF3">
        <w:rPr>
          <w:rFonts w:cstheme="minorHAnsi"/>
          <w:sz w:val="24"/>
          <w:szCs w:val="24"/>
        </w:rPr>
        <w:t>Patients with abdominal gunshot wounds have a very high chance of intraperitoneal injury and must undergo laparotomy to exclude injury rather than define it.  Importantly projectiles may move in non-linear planes and ricochet. Few patients are shot in the anatomical position.</w:t>
      </w:r>
    </w:p>
    <w:p w14:paraId="12968CCB" w14:textId="77777777" w:rsidR="00AB3832" w:rsidRPr="00404157" w:rsidRDefault="00AB3832" w:rsidP="00AB3832">
      <w:pPr>
        <w:pStyle w:val="ListParagraph"/>
        <w:numPr>
          <w:ilvl w:val="0"/>
          <w:numId w:val="93"/>
        </w:numPr>
        <w:spacing w:after="200" w:line="360" w:lineRule="auto"/>
        <w:jc w:val="both"/>
        <w:rPr>
          <w:rFonts w:eastAsia="Calibri" w:cstheme="minorHAnsi"/>
          <w:b/>
          <w:sz w:val="24"/>
          <w:szCs w:val="24"/>
          <w:lang w:val="en-US"/>
        </w:rPr>
      </w:pPr>
      <w:r w:rsidRPr="00BE7EF3">
        <w:rPr>
          <w:rFonts w:cstheme="minorHAnsi"/>
          <w:sz w:val="24"/>
          <w:szCs w:val="24"/>
        </w:rPr>
        <w:lastRenderedPageBreak/>
        <w:t>Patients with unresponsive or transiently responding shock require immediate laparotomy. Those without overt shock may undergo a CT scan to guide surgical planning and identify those few patients with tangential injuries. Close range shot gun injuries are locally destructive and likely to penetrate the peritoneum mandating laparotomy. For those delivered at distance, CT scanning may demonstrate pellet penetration deep to peritoneum although scatter may limit image quality.</w:t>
      </w:r>
    </w:p>
    <w:p w14:paraId="34A3F05C" w14:textId="77777777" w:rsidR="00404157" w:rsidRPr="00BE7EF3" w:rsidRDefault="00404157" w:rsidP="00404157">
      <w:pPr>
        <w:pStyle w:val="ListParagraph"/>
        <w:spacing w:after="200" w:line="360" w:lineRule="auto"/>
        <w:ind w:left="360"/>
        <w:jc w:val="both"/>
        <w:rPr>
          <w:rFonts w:eastAsia="Calibri" w:cstheme="minorHAnsi"/>
          <w:b/>
          <w:sz w:val="24"/>
          <w:szCs w:val="24"/>
          <w:lang w:val="en-US"/>
        </w:rPr>
      </w:pPr>
    </w:p>
    <w:p w14:paraId="1048BE22" w14:textId="77777777" w:rsidR="00EF1112" w:rsidRPr="00BE7EF3" w:rsidRDefault="00AB3832" w:rsidP="00EF1112">
      <w:pPr>
        <w:spacing w:after="200" w:line="360" w:lineRule="auto"/>
        <w:contextualSpacing/>
        <w:jc w:val="both"/>
        <w:rPr>
          <w:rFonts w:eastAsia="Calibri" w:cstheme="minorHAnsi"/>
          <w:b/>
          <w:color w:val="2309BF"/>
          <w:sz w:val="24"/>
          <w:szCs w:val="24"/>
          <w:lang w:val="en-US"/>
        </w:rPr>
      </w:pPr>
      <w:r w:rsidRPr="00BE7EF3">
        <w:rPr>
          <w:rFonts w:eastAsia="Calibri" w:cstheme="minorHAnsi"/>
          <w:b/>
          <w:color w:val="2309BF"/>
          <w:sz w:val="24"/>
          <w:szCs w:val="24"/>
          <w:lang w:val="en-US"/>
        </w:rPr>
        <w:t>Management of high velocity and ballistic injuries</w:t>
      </w:r>
    </w:p>
    <w:p w14:paraId="51B2E77B" w14:textId="77777777" w:rsidR="00AB3832" w:rsidRPr="00BE7EF3" w:rsidRDefault="00AB3832" w:rsidP="004C47CC">
      <w:pPr>
        <w:pStyle w:val="ListParagraph"/>
        <w:numPr>
          <w:ilvl w:val="0"/>
          <w:numId w:val="95"/>
        </w:numPr>
        <w:spacing w:after="200" w:line="360" w:lineRule="auto"/>
        <w:jc w:val="both"/>
        <w:rPr>
          <w:rFonts w:cstheme="minorHAnsi"/>
          <w:sz w:val="24"/>
          <w:szCs w:val="24"/>
        </w:rPr>
      </w:pPr>
      <w:r w:rsidRPr="00BE7EF3">
        <w:rPr>
          <w:rFonts w:cstheme="minorHAnsi"/>
          <w:sz w:val="24"/>
          <w:szCs w:val="24"/>
        </w:rPr>
        <w:t xml:space="preserve">The experiences from Manchester and London highlight the need for consideration of management of high velocity and ballistic injuries. There is very little civilian experience in such management and expert advice is best sought on the management of such patients. </w:t>
      </w:r>
      <w:r w:rsidR="00EF1112" w:rsidRPr="00BE7EF3">
        <w:rPr>
          <w:rFonts w:cstheme="minorHAnsi"/>
          <w:sz w:val="24"/>
          <w:szCs w:val="24"/>
        </w:rPr>
        <w:t>K</w:t>
      </w:r>
      <w:r w:rsidRPr="00BE7EF3">
        <w:rPr>
          <w:rFonts w:cstheme="minorHAnsi"/>
          <w:sz w:val="24"/>
          <w:szCs w:val="24"/>
        </w:rPr>
        <w:t>ey learning points from the Manchester are</w:t>
      </w:r>
    </w:p>
    <w:p w14:paraId="57673E50" w14:textId="77777777" w:rsidR="00AB3832" w:rsidRPr="00BE7EF3" w:rsidRDefault="00AB3832" w:rsidP="004C47CC">
      <w:pPr>
        <w:pStyle w:val="ListParagraph"/>
        <w:numPr>
          <w:ilvl w:val="0"/>
          <w:numId w:val="96"/>
        </w:numPr>
        <w:spacing w:after="200" w:line="360" w:lineRule="auto"/>
        <w:jc w:val="both"/>
        <w:rPr>
          <w:rFonts w:cstheme="minorHAnsi"/>
          <w:sz w:val="24"/>
          <w:szCs w:val="24"/>
        </w:rPr>
      </w:pPr>
      <w:r w:rsidRPr="00BE7EF3">
        <w:rPr>
          <w:rFonts w:cstheme="minorHAnsi"/>
          <w:sz w:val="24"/>
          <w:szCs w:val="24"/>
        </w:rPr>
        <w:t xml:space="preserve">The importance of CT </w:t>
      </w:r>
      <w:r w:rsidR="00EF1112" w:rsidRPr="00BE7EF3">
        <w:rPr>
          <w:rFonts w:cstheme="minorHAnsi"/>
          <w:sz w:val="24"/>
          <w:szCs w:val="24"/>
        </w:rPr>
        <w:t>s</w:t>
      </w:r>
      <w:r w:rsidRPr="00BE7EF3">
        <w:rPr>
          <w:rFonts w:cstheme="minorHAnsi"/>
          <w:sz w:val="24"/>
          <w:szCs w:val="24"/>
        </w:rPr>
        <w:t>canning to identify shrapnel injuries</w:t>
      </w:r>
    </w:p>
    <w:p w14:paraId="2ECE5ABB" w14:textId="77777777" w:rsidR="00A44552" w:rsidRDefault="00AB3832" w:rsidP="004C47CC">
      <w:pPr>
        <w:pStyle w:val="ListParagraph"/>
        <w:numPr>
          <w:ilvl w:val="0"/>
          <w:numId w:val="96"/>
        </w:numPr>
        <w:spacing w:after="200" w:line="360" w:lineRule="auto"/>
        <w:jc w:val="both"/>
        <w:rPr>
          <w:rFonts w:cstheme="minorHAnsi"/>
          <w:sz w:val="24"/>
          <w:szCs w:val="24"/>
        </w:rPr>
      </w:pPr>
      <w:r w:rsidRPr="00BE7EF3">
        <w:rPr>
          <w:rFonts w:cstheme="minorHAnsi"/>
          <w:sz w:val="24"/>
          <w:szCs w:val="24"/>
        </w:rPr>
        <w:t xml:space="preserve">The importance of considering the need for prophylaxis for possible blood borne infection (see </w:t>
      </w:r>
      <w:r w:rsidR="00A44552">
        <w:rPr>
          <w:rFonts w:cstheme="minorHAnsi"/>
          <w:sz w:val="24"/>
          <w:szCs w:val="24"/>
        </w:rPr>
        <w:t>latest Public Health England and NHS England guidance)</w:t>
      </w:r>
    </w:p>
    <w:p w14:paraId="3D7B7F57" w14:textId="77777777" w:rsidR="00AB3832" w:rsidRDefault="00A44552" w:rsidP="004C47CC">
      <w:pPr>
        <w:pStyle w:val="ListParagraph"/>
        <w:numPr>
          <w:ilvl w:val="0"/>
          <w:numId w:val="96"/>
        </w:numPr>
        <w:spacing w:after="200" w:line="360" w:lineRule="auto"/>
        <w:jc w:val="both"/>
        <w:rPr>
          <w:rFonts w:cstheme="minorHAnsi"/>
          <w:sz w:val="24"/>
          <w:szCs w:val="24"/>
        </w:rPr>
      </w:pPr>
      <w:r w:rsidRPr="00BE7EF3">
        <w:rPr>
          <w:rFonts w:cstheme="minorHAnsi"/>
          <w:sz w:val="24"/>
          <w:szCs w:val="24"/>
        </w:rPr>
        <w:t xml:space="preserve"> </w:t>
      </w:r>
      <w:r w:rsidR="00AB3832" w:rsidRPr="00BE7EF3">
        <w:rPr>
          <w:rFonts w:cstheme="minorHAnsi"/>
          <w:sz w:val="24"/>
          <w:szCs w:val="24"/>
        </w:rPr>
        <w:t>In the event of a Mass Casualty Incident, different rules may apply, and staff in all hospitals receiving paediatric major trauma patients should be familiar with their own Major Incident Policy.</w:t>
      </w:r>
    </w:p>
    <w:p w14:paraId="45D10A6A" w14:textId="77777777" w:rsidR="00404157" w:rsidRPr="00BE7EF3" w:rsidRDefault="00404157" w:rsidP="00404157">
      <w:pPr>
        <w:pStyle w:val="ListParagraph"/>
        <w:spacing w:after="200" w:line="360" w:lineRule="auto"/>
        <w:ind w:left="1210"/>
        <w:jc w:val="both"/>
        <w:rPr>
          <w:rFonts w:cstheme="minorHAnsi"/>
          <w:sz w:val="24"/>
          <w:szCs w:val="24"/>
        </w:rPr>
      </w:pPr>
    </w:p>
    <w:p w14:paraId="7F896E3A" w14:textId="77777777" w:rsidR="00AB3832" w:rsidRPr="00BE7EF3" w:rsidRDefault="00AB3832" w:rsidP="00AB3832">
      <w:pPr>
        <w:spacing w:after="160" w:line="360" w:lineRule="auto"/>
        <w:contextualSpacing/>
        <w:jc w:val="both"/>
        <w:rPr>
          <w:rFonts w:eastAsia="Calibri" w:cstheme="minorHAnsi"/>
          <w:b/>
          <w:color w:val="2309BF"/>
          <w:sz w:val="24"/>
          <w:szCs w:val="24"/>
          <w:lang w:val="en-US"/>
        </w:rPr>
      </w:pPr>
      <w:r w:rsidRPr="00BE7EF3">
        <w:rPr>
          <w:rFonts w:eastAsia="Calibri" w:cstheme="minorHAnsi"/>
          <w:b/>
          <w:color w:val="2309BF"/>
          <w:sz w:val="24"/>
          <w:szCs w:val="24"/>
          <w:lang w:val="en-US"/>
        </w:rPr>
        <w:t>Venous Thromboembolic (VTE) prophylaxis in patients with abdominal injury</w:t>
      </w:r>
    </w:p>
    <w:p w14:paraId="5656B296" w14:textId="77777777" w:rsidR="00AB3832" w:rsidRPr="00BE7EF3" w:rsidRDefault="00AB3832" w:rsidP="00AB3832">
      <w:pPr>
        <w:numPr>
          <w:ilvl w:val="0"/>
          <w:numId w:val="93"/>
        </w:numPr>
        <w:spacing w:after="160" w:line="360" w:lineRule="auto"/>
        <w:contextualSpacing/>
        <w:jc w:val="both"/>
        <w:rPr>
          <w:rFonts w:eastAsia="Calibri" w:cstheme="minorHAnsi"/>
          <w:sz w:val="24"/>
          <w:szCs w:val="24"/>
          <w:lang w:val="en-US"/>
        </w:rPr>
      </w:pPr>
      <w:r w:rsidRPr="00BE7EF3">
        <w:rPr>
          <w:rFonts w:eastAsia="Calibri" w:cstheme="minorHAnsi"/>
          <w:sz w:val="24"/>
          <w:szCs w:val="24"/>
          <w:lang w:val="en-US"/>
        </w:rPr>
        <w:t xml:space="preserve">Mechanical prophylaxis </w:t>
      </w:r>
      <w:proofErr w:type="spellStart"/>
      <w:r w:rsidRPr="00BE7EF3">
        <w:rPr>
          <w:rFonts w:eastAsia="Calibri" w:cstheme="minorHAnsi"/>
          <w:sz w:val="24"/>
          <w:szCs w:val="24"/>
          <w:lang w:val="en-US"/>
        </w:rPr>
        <w:t>eg</w:t>
      </w:r>
      <w:proofErr w:type="spellEnd"/>
      <w:r w:rsidRPr="00BE7EF3">
        <w:rPr>
          <w:rFonts w:eastAsia="Calibri" w:cstheme="minorHAnsi"/>
          <w:sz w:val="24"/>
          <w:szCs w:val="24"/>
          <w:lang w:val="en-US"/>
        </w:rPr>
        <w:t xml:space="preserve">. TED stockings can be used for all patients where an appropriate size exists, unless precluded by lower limb injury. </w:t>
      </w:r>
    </w:p>
    <w:p w14:paraId="570E06B9" w14:textId="77777777" w:rsidR="00AB3832" w:rsidRPr="00BE7EF3" w:rsidRDefault="00AB3832" w:rsidP="00AB3832">
      <w:pPr>
        <w:numPr>
          <w:ilvl w:val="0"/>
          <w:numId w:val="93"/>
        </w:numPr>
        <w:spacing w:after="160" w:line="360" w:lineRule="auto"/>
        <w:contextualSpacing/>
        <w:jc w:val="both"/>
        <w:rPr>
          <w:rFonts w:eastAsia="Calibri" w:cstheme="minorHAnsi"/>
          <w:sz w:val="24"/>
          <w:szCs w:val="24"/>
          <w:lang w:val="en-US"/>
        </w:rPr>
      </w:pPr>
      <w:r w:rsidRPr="00BE7EF3">
        <w:rPr>
          <w:rFonts w:eastAsia="Calibri" w:cstheme="minorHAnsi"/>
          <w:sz w:val="24"/>
          <w:szCs w:val="24"/>
          <w:lang w:val="en-US"/>
        </w:rPr>
        <w:t>Pharmacological prophylaxis with LMWH should be commenced when the risk of further bleeding becomes less than the risk of VTE - usually at 18:00 following the day of surgery and if there is no coagulopathy (normal INR and APTT).</w:t>
      </w:r>
    </w:p>
    <w:p w14:paraId="5024C611" w14:textId="77777777" w:rsidR="00AB3832" w:rsidRDefault="00AB3832" w:rsidP="00AB3832">
      <w:pPr>
        <w:spacing w:after="160" w:line="360" w:lineRule="auto"/>
        <w:contextualSpacing/>
        <w:jc w:val="both"/>
        <w:rPr>
          <w:rFonts w:eastAsia="Calibri" w:cstheme="minorHAnsi"/>
          <w:lang w:val="en-US"/>
        </w:rPr>
      </w:pPr>
    </w:p>
    <w:p w14:paraId="2DCF525E" w14:textId="77777777" w:rsidR="00404157" w:rsidRDefault="00404157" w:rsidP="00FF5FE3">
      <w:pPr>
        <w:jc w:val="both"/>
        <w:rPr>
          <w:rFonts w:cstheme="minorHAnsi"/>
          <w:b/>
          <w:sz w:val="28"/>
        </w:rPr>
      </w:pPr>
    </w:p>
    <w:p w14:paraId="0597B1F9" w14:textId="77777777" w:rsidR="00404157" w:rsidRDefault="00404157" w:rsidP="00FF5FE3">
      <w:pPr>
        <w:jc w:val="both"/>
        <w:rPr>
          <w:rFonts w:cstheme="minorHAnsi"/>
          <w:b/>
          <w:sz w:val="28"/>
        </w:rPr>
      </w:pPr>
    </w:p>
    <w:p w14:paraId="27935E6C" w14:textId="77777777" w:rsidR="00404157" w:rsidRDefault="00404157" w:rsidP="00FF5FE3">
      <w:pPr>
        <w:jc w:val="both"/>
        <w:rPr>
          <w:rFonts w:cstheme="minorHAnsi"/>
          <w:b/>
          <w:sz w:val="28"/>
        </w:rPr>
      </w:pPr>
    </w:p>
    <w:p w14:paraId="5B9A1B37" w14:textId="77777777" w:rsidR="00404157" w:rsidRDefault="00404157" w:rsidP="00FF5FE3">
      <w:pPr>
        <w:jc w:val="both"/>
        <w:rPr>
          <w:rFonts w:cstheme="minorHAnsi"/>
          <w:b/>
          <w:sz w:val="28"/>
        </w:rPr>
      </w:pPr>
    </w:p>
    <w:p w14:paraId="4212FFD9" w14:textId="77777777" w:rsidR="00404157" w:rsidRDefault="00404157" w:rsidP="00FF5FE3">
      <w:pPr>
        <w:jc w:val="both"/>
        <w:rPr>
          <w:rFonts w:cstheme="minorHAnsi"/>
          <w:b/>
          <w:sz w:val="28"/>
        </w:rPr>
      </w:pPr>
    </w:p>
    <w:bookmarkEnd w:id="1"/>
    <w:p w14:paraId="4B6530A9" w14:textId="77777777" w:rsidR="00D927B2" w:rsidRDefault="00D927B2" w:rsidP="00D927B2">
      <w:pPr>
        <w:rPr>
          <w:rFonts w:cstheme="minorHAnsi"/>
          <w:b/>
        </w:rPr>
      </w:pPr>
    </w:p>
    <w:p w14:paraId="04089A9D" w14:textId="77777777" w:rsidR="000110AF" w:rsidRDefault="000110AF" w:rsidP="000110AF">
      <w:pPr>
        <w:rPr>
          <w:rFonts w:cstheme="minorHAnsi"/>
          <w:b/>
          <w:sz w:val="28"/>
          <w:lang w:val="en-US"/>
        </w:rPr>
      </w:pPr>
      <w:bookmarkStart w:id="2" w:name="Appendix4a"/>
      <w:r>
        <w:rPr>
          <w:rFonts w:cstheme="minorHAnsi"/>
          <w:b/>
          <w:sz w:val="28"/>
        </w:rPr>
        <w:t xml:space="preserve">Appendix 4a - </w:t>
      </w:r>
      <w:r w:rsidRPr="000110AF">
        <w:rPr>
          <w:rFonts w:cstheme="minorHAnsi"/>
          <w:b/>
          <w:sz w:val="28"/>
          <w:lang w:val="en-US"/>
        </w:rPr>
        <w:t>Management algorithm for blunt abdominal injury</w:t>
      </w:r>
    </w:p>
    <w:bookmarkEnd w:id="2"/>
    <w:p w14:paraId="59203CFE" w14:textId="77777777" w:rsidR="000110AF" w:rsidRDefault="000110AF" w:rsidP="000110AF">
      <w:pPr>
        <w:rPr>
          <w:rFonts w:cstheme="minorHAnsi"/>
          <w:b/>
          <w:sz w:val="28"/>
        </w:rPr>
      </w:pPr>
    </w:p>
    <w:p w14:paraId="44D0D2CF" w14:textId="77777777" w:rsidR="000110AF" w:rsidRDefault="000110AF" w:rsidP="000110AF">
      <w:pPr>
        <w:rPr>
          <w:rFonts w:cstheme="minorHAnsi"/>
          <w:b/>
          <w:sz w:val="28"/>
        </w:rPr>
      </w:pPr>
      <w:r>
        <w:rPr>
          <w:rFonts w:cstheme="minorHAnsi"/>
          <w:noProof/>
          <w:lang w:eastAsia="en-GB"/>
        </w:rPr>
        <mc:AlternateContent>
          <mc:Choice Requires="wps">
            <w:drawing>
              <wp:anchor distT="0" distB="0" distL="114300" distR="114300" simplePos="0" relativeHeight="251705344" behindDoc="0" locked="0" layoutInCell="1" allowOverlap="1" wp14:anchorId="37A5832C" wp14:editId="63A5F08C">
                <wp:simplePos x="0" y="0"/>
                <wp:positionH relativeFrom="column">
                  <wp:posOffset>240030</wp:posOffset>
                </wp:positionH>
                <wp:positionV relativeFrom="page">
                  <wp:posOffset>5581650</wp:posOffset>
                </wp:positionV>
                <wp:extent cx="1428750" cy="171450"/>
                <wp:effectExtent l="0" t="0" r="19050" b="19050"/>
                <wp:wrapNone/>
                <wp:docPr id="301" name="Rectangle 301"/>
                <wp:cNvGraphicFramePr/>
                <a:graphic xmlns:a="http://schemas.openxmlformats.org/drawingml/2006/main">
                  <a:graphicData uri="http://schemas.microsoft.com/office/word/2010/wordprocessingShape">
                    <wps:wsp>
                      <wps:cNvSpPr/>
                      <wps:spPr>
                        <a:xfrm>
                          <a:off x="0" y="0"/>
                          <a:ext cx="1428750" cy="17145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3AC21D" id="Rectangle 301" o:spid="_x0000_s1026" style="position:absolute;margin-left:18.9pt;margin-top:439.5pt;width:112.5pt;height:13.5pt;z-index:25170534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" fillcolor="#bfbfbf [2412]" strokecolor="#bfbfbf [2412]" strokeweight="2pt">
                <w10:wrap anchory="page"/>
              </v:rect>
            </w:pict>
          </mc:Fallback>
        </mc:AlternateContent>
      </w:r>
      <w:r w:rsidRPr="00EF5857">
        <w:rPr>
          <w:rFonts w:cstheme="minorHAnsi"/>
          <w:noProof/>
          <w:lang w:eastAsia="en-GB"/>
        </w:rPr>
        <w:drawing>
          <wp:inline distT="0" distB="0" distL="0" distR="0" wp14:anchorId="700A193A" wp14:editId="4E76B543">
            <wp:extent cx="6124575" cy="7978613"/>
            <wp:effectExtent l="0" t="0" r="0" b="381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9147" cy="7984569"/>
                    </a:xfrm>
                    <a:prstGeom prst="rect">
                      <a:avLst/>
                    </a:prstGeom>
                  </pic:spPr>
                </pic:pic>
              </a:graphicData>
            </a:graphic>
          </wp:inline>
        </w:drawing>
      </w:r>
    </w:p>
    <w:p w14:paraId="1A3436AE" w14:textId="77777777" w:rsidR="000110AF" w:rsidRDefault="000110AF" w:rsidP="000110AF">
      <w:pPr>
        <w:rPr>
          <w:rFonts w:cstheme="minorHAnsi"/>
          <w:b/>
          <w:sz w:val="28"/>
        </w:rPr>
      </w:pPr>
    </w:p>
    <w:tbl>
      <w:tblPr>
        <w:tblStyle w:val="TableGrid"/>
        <w:tblW w:w="0" w:type="auto"/>
        <w:tblLook w:val="04A0" w:firstRow="1" w:lastRow="0" w:firstColumn="1" w:lastColumn="0" w:noHBand="0" w:noVBand="1"/>
      </w:tblPr>
      <w:tblGrid>
        <w:gridCol w:w="9968"/>
      </w:tblGrid>
      <w:tr w:rsidR="000110AF" w14:paraId="45A198BA" w14:textId="77777777" w:rsidTr="000110AF">
        <w:tc>
          <w:tcPr>
            <w:tcW w:w="9968" w:type="dxa"/>
          </w:tcPr>
          <w:p w14:paraId="60225EC4" w14:textId="77777777" w:rsidR="000110AF" w:rsidRPr="000110AF" w:rsidRDefault="000110AF" w:rsidP="000110AF">
            <w:pPr>
              <w:spacing w:after="160" w:line="256" w:lineRule="auto"/>
              <w:contextualSpacing/>
              <w:jc w:val="both"/>
              <w:rPr>
                <w:rFonts w:eastAsia="Calibri" w:cstheme="minorHAnsi"/>
                <w:b/>
                <w:sz w:val="28"/>
                <w:szCs w:val="24"/>
                <w:lang w:val="en-US"/>
              </w:rPr>
            </w:pPr>
            <w:r w:rsidRPr="000110AF">
              <w:rPr>
                <w:rFonts w:eastAsia="Calibri" w:cstheme="minorHAnsi"/>
                <w:b/>
                <w:sz w:val="28"/>
                <w:szCs w:val="24"/>
                <w:lang w:val="en-US"/>
              </w:rPr>
              <w:lastRenderedPageBreak/>
              <w:t>Appendix 4 a - KEY</w:t>
            </w:r>
          </w:p>
          <w:p w14:paraId="219A6FD4" w14:textId="77777777" w:rsidR="000110AF" w:rsidRPr="000110AF" w:rsidRDefault="000110AF" w:rsidP="004C47CC">
            <w:pPr>
              <w:pStyle w:val="ListParagraph"/>
              <w:numPr>
                <w:ilvl w:val="0"/>
                <w:numId w:val="102"/>
              </w:numPr>
              <w:spacing w:after="160" w:line="256" w:lineRule="auto"/>
              <w:jc w:val="both"/>
              <w:rPr>
                <w:rFonts w:eastAsia="Calibri" w:cstheme="minorHAnsi"/>
                <w:sz w:val="24"/>
                <w:szCs w:val="24"/>
                <w:lang w:val="en-US"/>
              </w:rPr>
            </w:pPr>
            <w:r w:rsidRPr="000110AF">
              <w:rPr>
                <w:rFonts w:eastAsia="Calibri" w:cstheme="minorHAnsi"/>
                <w:sz w:val="24"/>
                <w:szCs w:val="24"/>
                <w:lang w:val="en-US"/>
              </w:rPr>
              <w:t>Abdominal examination should be included within assessment of “C” as a potential source of bleeding</w:t>
            </w:r>
          </w:p>
          <w:p w14:paraId="3CC0DDB3" w14:textId="77777777" w:rsidR="000110AF" w:rsidRPr="000110AF" w:rsidRDefault="000110AF" w:rsidP="000110AF">
            <w:pPr>
              <w:pStyle w:val="ListParagraph"/>
              <w:spacing w:after="160" w:line="256" w:lineRule="auto"/>
              <w:ind w:left="360"/>
              <w:jc w:val="both"/>
              <w:rPr>
                <w:rFonts w:eastAsia="Calibri" w:cstheme="minorHAnsi"/>
                <w:sz w:val="24"/>
                <w:szCs w:val="24"/>
                <w:lang w:val="en-US"/>
              </w:rPr>
            </w:pPr>
          </w:p>
          <w:p w14:paraId="4E05F305" w14:textId="77777777" w:rsidR="000110AF" w:rsidRPr="000110AF" w:rsidRDefault="000110AF" w:rsidP="004C47CC">
            <w:pPr>
              <w:pStyle w:val="ListParagraph"/>
              <w:numPr>
                <w:ilvl w:val="0"/>
                <w:numId w:val="102"/>
              </w:numPr>
              <w:spacing w:after="160" w:line="256" w:lineRule="auto"/>
              <w:jc w:val="both"/>
              <w:rPr>
                <w:rFonts w:eastAsia="Calibri" w:cstheme="minorHAnsi"/>
                <w:sz w:val="24"/>
                <w:szCs w:val="24"/>
                <w:lang w:val="en-US"/>
              </w:rPr>
            </w:pPr>
            <w:r w:rsidRPr="000110AF">
              <w:rPr>
                <w:rFonts w:eastAsia="Calibri" w:cstheme="minorHAnsi"/>
                <w:sz w:val="24"/>
                <w:szCs w:val="24"/>
                <w:lang w:val="en-US"/>
              </w:rPr>
              <w:t>Senior decision makers (Consultant Paediatric Surgeon or equivalent in TU) / Consultant in Emergency Medicine/Consultant Paediatric/Interventional Radiologist) to assess and decide if patient’s hemodynamic status is deteriorating too fast to proceed to CT.</w:t>
            </w:r>
          </w:p>
          <w:p w14:paraId="5548DC3C" w14:textId="77777777" w:rsidR="000110AF" w:rsidRPr="000110AF" w:rsidRDefault="000110AF" w:rsidP="000110AF">
            <w:pPr>
              <w:pStyle w:val="ListParagraph"/>
              <w:rPr>
                <w:rFonts w:eastAsia="Calibri" w:cstheme="minorHAnsi"/>
                <w:sz w:val="24"/>
                <w:szCs w:val="24"/>
                <w:lang w:val="en-US"/>
              </w:rPr>
            </w:pPr>
          </w:p>
          <w:p w14:paraId="6735C655" w14:textId="77777777" w:rsidR="000110AF" w:rsidRPr="000110AF" w:rsidRDefault="000110AF" w:rsidP="004C47CC">
            <w:pPr>
              <w:pStyle w:val="ListParagraph"/>
              <w:numPr>
                <w:ilvl w:val="0"/>
                <w:numId w:val="102"/>
              </w:numPr>
              <w:spacing w:after="160" w:line="256" w:lineRule="auto"/>
              <w:jc w:val="both"/>
              <w:rPr>
                <w:rFonts w:eastAsia="Calibri" w:cstheme="minorHAnsi"/>
                <w:sz w:val="24"/>
                <w:szCs w:val="24"/>
                <w:lang w:val="en-US"/>
              </w:rPr>
            </w:pPr>
            <w:r w:rsidRPr="000110AF">
              <w:rPr>
                <w:rFonts w:eastAsia="Calibri" w:cstheme="minorHAnsi"/>
                <w:sz w:val="24"/>
                <w:szCs w:val="24"/>
                <w:lang w:val="en-US"/>
              </w:rPr>
              <w:t>Unresponsive or transiently responsive shock is usually due to bleeding.  Potential sites (chest, abdomen, pelvis, limbs and external loss) of bleeding should be evaluated.  Obstructive / mechanical causes of shock (tension pneumothorax and cardiac tamponade) should also be considered.  Rarer causes of shock include myocardial contusion, neurogenic shock, myocardial infarction and air embolus.   Non-abdominal sources of shock will need intervention in parallel with intra-abdominal assessment and intervention e.g. chest drain, pelvic binder, wound compression etc.</w:t>
            </w:r>
          </w:p>
          <w:p w14:paraId="1506913C" w14:textId="77777777" w:rsidR="000110AF" w:rsidRPr="000110AF" w:rsidRDefault="000110AF" w:rsidP="000110AF">
            <w:pPr>
              <w:pStyle w:val="ListParagraph"/>
              <w:rPr>
                <w:rFonts w:eastAsia="Calibri" w:cstheme="minorHAnsi"/>
                <w:sz w:val="24"/>
                <w:szCs w:val="24"/>
                <w:lang w:val="en-US"/>
              </w:rPr>
            </w:pPr>
          </w:p>
          <w:p w14:paraId="37FE62EB" w14:textId="77777777" w:rsidR="000110AF" w:rsidRPr="000110AF" w:rsidRDefault="000110AF" w:rsidP="004C47CC">
            <w:pPr>
              <w:pStyle w:val="ListParagraph"/>
              <w:numPr>
                <w:ilvl w:val="0"/>
                <w:numId w:val="102"/>
              </w:numPr>
              <w:spacing w:after="160" w:line="256" w:lineRule="auto"/>
              <w:jc w:val="both"/>
              <w:rPr>
                <w:rFonts w:eastAsia="Calibri" w:cstheme="minorHAnsi"/>
                <w:sz w:val="24"/>
                <w:szCs w:val="24"/>
                <w:lang w:val="en-US"/>
              </w:rPr>
            </w:pPr>
            <w:r w:rsidRPr="000110AF">
              <w:rPr>
                <w:rFonts w:eastAsia="Calibri" w:cstheme="minorHAnsi"/>
                <w:sz w:val="24"/>
                <w:szCs w:val="24"/>
                <w:lang w:val="en-US"/>
              </w:rPr>
              <w:t xml:space="preserve">If bleeding or “blush” reported on CT scan a discussion between </w:t>
            </w:r>
            <w:proofErr w:type="spellStart"/>
            <w:r w:rsidRPr="000110AF">
              <w:rPr>
                <w:rFonts w:eastAsia="Calibri" w:cstheme="minorHAnsi"/>
                <w:sz w:val="24"/>
                <w:szCs w:val="24"/>
                <w:lang w:val="en-US"/>
              </w:rPr>
              <w:t>paediatric</w:t>
            </w:r>
            <w:proofErr w:type="spellEnd"/>
            <w:r w:rsidRPr="000110AF">
              <w:rPr>
                <w:rFonts w:eastAsia="Calibri" w:cstheme="minorHAnsi"/>
                <w:sz w:val="24"/>
                <w:szCs w:val="24"/>
                <w:lang w:val="en-US"/>
              </w:rPr>
              <w:t xml:space="preserve"> surgical team and radiological team is required to clarify precise nature of abnormality detected.  Evidence of bleeding in to peritoneal cavity will almost certainly require intervention.  Contained blush within a solid organ may not.   If evidence of active bleeding and hemodynamic deterioration, requires discussion between Consultant Paediatric Surgeon (or equivalent in TU) and Paediatric/Interventional Radiologist to determine suitability for </w:t>
            </w:r>
            <w:proofErr w:type="spellStart"/>
            <w:r w:rsidRPr="000110AF">
              <w:rPr>
                <w:rFonts w:eastAsia="Calibri" w:cstheme="minorHAnsi"/>
                <w:sz w:val="24"/>
                <w:szCs w:val="24"/>
                <w:lang w:val="en-US"/>
              </w:rPr>
              <w:t>embolisation</w:t>
            </w:r>
            <w:proofErr w:type="spellEnd"/>
            <w:r w:rsidRPr="000110AF">
              <w:rPr>
                <w:rFonts w:eastAsia="Calibri" w:cstheme="minorHAnsi"/>
                <w:sz w:val="24"/>
                <w:szCs w:val="24"/>
                <w:lang w:val="en-US"/>
              </w:rPr>
              <w:t xml:space="preserve"> or laparotomy.  Factors to consider include rate of hemodynamic deterioration, constellation of injuries and physiological reserve. If embolization felt to be appropriate this may necessitate transfer to Leeds.</w:t>
            </w:r>
          </w:p>
          <w:p w14:paraId="3525AD16" w14:textId="77777777" w:rsidR="000110AF" w:rsidRPr="000110AF" w:rsidRDefault="000110AF" w:rsidP="000110AF">
            <w:pPr>
              <w:pStyle w:val="ListParagraph"/>
              <w:rPr>
                <w:rFonts w:eastAsia="Calibri" w:cstheme="minorHAnsi"/>
                <w:sz w:val="24"/>
                <w:szCs w:val="24"/>
                <w:lang w:val="en-US"/>
              </w:rPr>
            </w:pPr>
          </w:p>
          <w:p w14:paraId="016DE50F" w14:textId="77777777" w:rsidR="000110AF" w:rsidRPr="000110AF" w:rsidRDefault="000110AF" w:rsidP="004C47CC">
            <w:pPr>
              <w:pStyle w:val="ListParagraph"/>
              <w:numPr>
                <w:ilvl w:val="0"/>
                <w:numId w:val="102"/>
              </w:numPr>
              <w:spacing w:after="160" w:line="256" w:lineRule="auto"/>
              <w:jc w:val="both"/>
              <w:rPr>
                <w:rFonts w:eastAsia="Calibri" w:cstheme="minorHAnsi"/>
                <w:sz w:val="24"/>
                <w:szCs w:val="24"/>
                <w:lang w:val="en-US"/>
              </w:rPr>
            </w:pPr>
            <w:r w:rsidRPr="000110AF">
              <w:rPr>
                <w:rFonts w:eastAsia="Calibri" w:cstheme="minorHAnsi"/>
                <w:sz w:val="24"/>
                <w:szCs w:val="24"/>
                <w:lang w:val="en-US"/>
              </w:rPr>
              <w:t>Patients undergoing a trial of non-operative management require regular clinical assessment and hemoglobin measurements ideally initially within a critical care environment.  Evidence of hemodynamic deterioration, falling hemoglobin, coagulopathy, increasing abdominal pain or tenderness or rising inflammatory markers requires discussion with the Consultant Paediatric Surgeon.  Depending on the rate of deterioration and clinical suspicion, the patient should undergo CT imaging or more rarely emergency transfer to theatre.    The CT scan may reveal re-bleeding, missed hollow viscus injury, pancreatic injury or complication of known solid organ injury.  Further bleeding may be treated with embolization or surgery determined by hemodynamic deterioration, constellation of injuries and physiological reserve.  Missed injuries or complications may require a combination of radiological or surgical intervention depending on the exact diagnosis.</w:t>
            </w:r>
          </w:p>
          <w:p w14:paraId="6FF92F89" w14:textId="77777777" w:rsidR="000110AF" w:rsidRPr="000110AF" w:rsidRDefault="000110AF" w:rsidP="000110AF">
            <w:pPr>
              <w:spacing w:after="160" w:line="256" w:lineRule="auto"/>
              <w:contextualSpacing/>
              <w:jc w:val="both"/>
              <w:rPr>
                <w:rFonts w:eastAsia="Calibri" w:cstheme="minorHAnsi"/>
                <w:b/>
                <w:sz w:val="24"/>
                <w:szCs w:val="24"/>
                <w:lang w:val="en-US"/>
              </w:rPr>
            </w:pPr>
          </w:p>
        </w:tc>
      </w:tr>
    </w:tbl>
    <w:p w14:paraId="636CE39F" w14:textId="77777777" w:rsidR="000110AF" w:rsidRDefault="000110AF" w:rsidP="000110AF">
      <w:pPr>
        <w:spacing w:after="160" w:line="256" w:lineRule="auto"/>
        <w:contextualSpacing/>
        <w:jc w:val="both"/>
        <w:rPr>
          <w:rFonts w:eastAsia="Calibri" w:cstheme="minorHAnsi"/>
          <w:b/>
          <w:sz w:val="28"/>
          <w:lang w:val="en-US"/>
        </w:rPr>
      </w:pPr>
    </w:p>
    <w:p w14:paraId="6365329C" w14:textId="77777777" w:rsidR="000110AF" w:rsidRDefault="000110AF" w:rsidP="000110AF">
      <w:pPr>
        <w:spacing w:after="160" w:line="256" w:lineRule="auto"/>
        <w:contextualSpacing/>
        <w:jc w:val="both"/>
        <w:rPr>
          <w:rFonts w:eastAsia="Calibri" w:cstheme="minorHAnsi"/>
          <w:b/>
          <w:sz w:val="28"/>
          <w:lang w:val="en-US"/>
        </w:rPr>
      </w:pPr>
    </w:p>
    <w:p w14:paraId="3C53816F" w14:textId="77777777" w:rsidR="00422AFC" w:rsidRDefault="00422AFC" w:rsidP="00422AFC">
      <w:pPr>
        <w:rPr>
          <w:rFonts w:cstheme="minorHAnsi"/>
          <w:b/>
          <w:sz w:val="28"/>
        </w:rPr>
      </w:pPr>
      <w:bookmarkStart w:id="3" w:name="Appendix4b"/>
    </w:p>
    <w:p w14:paraId="6A995557" w14:textId="77777777" w:rsidR="00422AFC" w:rsidRDefault="00422AFC" w:rsidP="00422AFC">
      <w:pPr>
        <w:rPr>
          <w:rFonts w:cstheme="minorHAnsi"/>
          <w:b/>
          <w:sz w:val="28"/>
        </w:rPr>
      </w:pPr>
    </w:p>
    <w:p w14:paraId="176BD887" w14:textId="77777777" w:rsidR="00422AFC" w:rsidRDefault="00422AFC" w:rsidP="00422AFC">
      <w:pPr>
        <w:rPr>
          <w:rFonts w:cstheme="minorHAnsi"/>
          <w:b/>
          <w:sz w:val="28"/>
        </w:rPr>
      </w:pPr>
    </w:p>
    <w:p w14:paraId="1F5E786E" w14:textId="77777777" w:rsidR="000110AF" w:rsidRDefault="00422AFC" w:rsidP="000110AF">
      <w:pPr>
        <w:rPr>
          <w:rFonts w:cstheme="minorHAnsi"/>
          <w:b/>
          <w:sz w:val="28"/>
          <w:lang w:val="en-US"/>
        </w:rPr>
      </w:pPr>
      <w:r w:rsidRPr="00D927B2">
        <w:rPr>
          <w:rFonts w:cstheme="minorHAnsi"/>
          <w:b/>
          <w:sz w:val="28"/>
        </w:rPr>
        <w:lastRenderedPageBreak/>
        <w:t xml:space="preserve">Appendix </w:t>
      </w:r>
      <w:r>
        <w:rPr>
          <w:rFonts w:cstheme="minorHAnsi"/>
          <w:b/>
          <w:sz w:val="28"/>
        </w:rPr>
        <w:t xml:space="preserve">4b - </w:t>
      </w:r>
      <w:r w:rsidRPr="000110AF">
        <w:rPr>
          <w:rFonts w:cstheme="minorHAnsi"/>
          <w:b/>
          <w:sz w:val="28"/>
          <w:lang w:val="en-US"/>
        </w:rPr>
        <w:t>Management algorithm for penetrating stab injury</w:t>
      </w:r>
      <w:bookmarkEnd w:id="3"/>
    </w:p>
    <w:p w14:paraId="063ECF15" w14:textId="77777777" w:rsidR="00422AFC" w:rsidRDefault="00422AFC" w:rsidP="000110AF">
      <w:pPr>
        <w:rPr>
          <w:rFonts w:cstheme="minorHAnsi"/>
          <w:b/>
          <w:sz w:val="28"/>
          <w:lang w:val="en-US"/>
        </w:rPr>
      </w:pPr>
    </w:p>
    <w:p w14:paraId="329B182B" w14:textId="77777777" w:rsidR="00422AFC" w:rsidRDefault="00422AFC" w:rsidP="000110AF">
      <w:pPr>
        <w:rPr>
          <w:rFonts w:cstheme="minorHAnsi"/>
          <w:b/>
          <w:sz w:val="28"/>
        </w:rPr>
      </w:pPr>
      <w:r>
        <w:rPr>
          <w:noProof/>
          <w:lang w:eastAsia="en-GB"/>
        </w:rPr>
        <w:drawing>
          <wp:anchor distT="0" distB="0" distL="114300" distR="114300" simplePos="0" relativeHeight="251683840" behindDoc="1" locked="0" layoutInCell="1" allowOverlap="1" wp14:anchorId="3B14BA76" wp14:editId="254202A8">
            <wp:simplePos x="0" y="0"/>
            <wp:positionH relativeFrom="column">
              <wp:posOffset>-197436</wp:posOffset>
            </wp:positionH>
            <wp:positionV relativeFrom="paragraph">
              <wp:posOffset>353126</wp:posOffset>
            </wp:positionV>
            <wp:extent cx="6536055" cy="7433945"/>
            <wp:effectExtent l="0" t="0" r="0" b="0"/>
            <wp:wrapTight wrapText="bothSides">
              <wp:wrapPolygon edited="0">
                <wp:start x="0" y="0"/>
                <wp:lineTo x="0" y="21532"/>
                <wp:lineTo x="21531" y="21532"/>
                <wp:lineTo x="2153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536055" cy="7433945"/>
                    </a:xfrm>
                    <a:prstGeom prst="rect">
                      <a:avLst/>
                    </a:prstGeom>
                  </pic:spPr>
                </pic:pic>
              </a:graphicData>
            </a:graphic>
            <wp14:sizeRelH relativeFrom="margin">
              <wp14:pctWidth>0</wp14:pctWidth>
            </wp14:sizeRelH>
            <wp14:sizeRelV relativeFrom="margin">
              <wp14:pctHeight>0</wp14:pctHeight>
            </wp14:sizeRelV>
          </wp:anchor>
        </w:drawing>
      </w:r>
    </w:p>
    <w:p w14:paraId="02FB04AA" w14:textId="77777777" w:rsidR="00D927B2" w:rsidRDefault="00D927B2" w:rsidP="00D927B2">
      <w:pPr>
        <w:rPr>
          <w:rFonts w:cstheme="minorHAnsi"/>
          <w:b/>
          <w:sz w:val="28"/>
        </w:rPr>
      </w:pPr>
    </w:p>
    <w:p w14:paraId="72EE9578" w14:textId="77777777" w:rsidR="00D927B2" w:rsidRDefault="00D927B2" w:rsidP="000110AF">
      <w:pPr>
        <w:jc w:val="center"/>
        <w:rPr>
          <w:rFonts w:cstheme="minorHAnsi"/>
          <w:b/>
          <w:sz w:val="28"/>
        </w:rPr>
      </w:pPr>
    </w:p>
    <w:p w14:paraId="45E900C6" w14:textId="77777777" w:rsidR="000110AF" w:rsidRDefault="00D927B2" w:rsidP="00D927B2">
      <w:pPr>
        <w:rPr>
          <w:rFonts w:cstheme="minorHAnsi"/>
          <w:b/>
          <w:sz w:val="28"/>
        </w:rPr>
      </w:pPr>
      <w:bookmarkStart w:id="4" w:name="Appendix4c"/>
      <w:r>
        <w:rPr>
          <w:rFonts w:cstheme="minorHAnsi"/>
          <w:b/>
          <w:sz w:val="28"/>
        </w:rPr>
        <w:lastRenderedPageBreak/>
        <w:t>Appendix 4c</w:t>
      </w:r>
      <w:r w:rsidR="00562F46">
        <w:rPr>
          <w:rFonts w:cstheme="minorHAnsi"/>
          <w:b/>
          <w:sz w:val="28"/>
        </w:rPr>
        <w:t xml:space="preserve"> – Management algorithm for gunshot injury</w:t>
      </w:r>
    </w:p>
    <w:bookmarkEnd w:id="4"/>
    <w:p w14:paraId="34E68A3C" w14:textId="0808242D" w:rsidR="00596371" w:rsidRPr="00D927B2" w:rsidRDefault="00596371" w:rsidP="009F4991">
      <w:pPr>
        <w:rPr>
          <w:rFonts w:cstheme="minorHAnsi"/>
          <w:b/>
          <w:sz w:val="28"/>
        </w:rPr>
        <w:sectPr w:rsidR="00596371" w:rsidRPr="00D927B2" w:rsidSect="000F3D4A">
          <w:footerReference w:type="default" r:id="rId14"/>
          <w:pgSz w:w="11906" w:h="16838"/>
          <w:pgMar w:top="1134" w:right="1077" w:bottom="1440" w:left="1077" w:header="709" w:footer="397" w:gutter="0"/>
          <w:cols w:space="708"/>
          <w:titlePg/>
          <w:docGrid w:linePitch="360"/>
        </w:sectPr>
      </w:pPr>
      <w:r>
        <w:rPr>
          <w:noProof/>
          <w:lang w:eastAsia="en-GB"/>
        </w:rPr>
        <w:drawing>
          <wp:anchor distT="0" distB="0" distL="114300" distR="114300" simplePos="0" relativeHeight="251686912" behindDoc="1" locked="0" layoutInCell="1" allowOverlap="1" wp14:anchorId="706CACF0" wp14:editId="14335F16">
            <wp:simplePos x="0" y="0"/>
            <wp:positionH relativeFrom="column">
              <wp:posOffset>-685503</wp:posOffset>
            </wp:positionH>
            <wp:positionV relativeFrom="paragraph">
              <wp:posOffset>487367</wp:posOffset>
            </wp:positionV>
            <wp:extent cx="6946265" cy="7505065"/>
            <wp:effectExtent l="0" t="0" r="6985" b="635"/>
            <wp:wrapTight wrapText="bothSides">
              <wp:wrapPolygon edited="0">
                <wp:start x="0" y="0"/>
                <wp:lineTo x="0" y="21547"/>
                <wp:lineTo x="21562" y="21547"/>
                <wp:lineTo x="2156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946265" cy="7505065"/>
                    </a:xfrm>
                    <a:prstGeom prst="rect">
                      <a:avLst/>
                    </a:prstGeom>
                  </pic:spPr>
                </pic:pic>
              </a:graphicData>
            </a:graphic>
            <wp14:sizeRelH relativeFrom="margin">
              <wp14:pctWidth>0</wp14:pctWidth>
            </wp14:sizeRelH>
            <wp14:sizeRelV relativeFrom="margin">
              <wp14:pctHeight>0</wp14:pctHeight>
            </wp14:sizeRelV>
          </wp:anchor>
        </w:drawing>
      </w:r>
      <w:bookmarkStart w:id="5" w:name="_GoBack"/>
      <w:bookmarkEnd w:id="5"/>
    </w:p>
    <w:p w14:paraId="1A1CD800" w14:textId="77777777" w:rsidR="009C37C5" w:rsidRPr="00642698" w:rsidRDefault="009C37C5" w:rsidP="009F4991">
      <w:pPr>
        <w:spacing w:after="160" w:line="259" w:lineRule="auto"/>
        <w:rPr>
          <w:rFonts w:cstheme="minorHAnsi"/>
          <w:sz w:val="24"/>
        </w:rPr>
      </w:pPr>
    </w:p>
    <w:sectPr w:rsidR="009C37C5" w:rsidRPr="00642698" w:rsidSect="00CA6433">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04FFC" w14:textId="77777777" w:rsidR="004D6978" w:rsidRDefault="004D6978" w:rsidP="00AD632A">
      <w:r>
        <w:separator/>
      </w:r>
    </w:p>
  </w:endnote>
  <w:endnote w:type="continuationSeparator" w:id="0">
    <w:p w14:paraId="33357973" w14:textId="77777777" w:rsidR="004D6978" w:rsidRDefault="004D6978"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53BB9" w14:textId="04B39E88" w:rsidR="00547FA5" w:rsidRPr="009019AA" w:rsidRDefault="00547FA5" w:rsidP="00904403">
    <w:pPr>
      <w:pStyle w:val="Footer"/>
      <w:pBdr>
        <w:top w:val="single" w:sz="4" w:space="1" w:color="auto"/>
      </w:pBdr>
      <w:jc w:val="center"/>
      <w:rPr>
        <w:rFonts w:cstheme="minorHAnsi"/>
        <w:sz w:val="20"/>
      </w:rPr>
    </w:pPr>
    <w:r w:rsidRPr="009019AA">
      <w:rPr>
        <w:rFonts w:cstheme="minorHAnsi"/>
        <w:sz w:val="20"/>
      </w:rPr>
      <w:t>Yorkshire and Humber Paediatric Major Trauma Guidelines</w:t>
    </w:r>
    <w:r>
      <w:rPr>
        <w:rFonts w:cstheme="minorHAnsi"/>
        <w:sz w:val="20"/>
      </w:rPr>
      <w:t xml:space="preserve"> April 2021</w:t>
    </w:r>
  </w:p>
  <w:p w14:paraId="0921013A" w14:textId="77777777" w:rsidR="00547FA5" w:rsidRPr="009019AA" w:rsidRDefault="00547FA5" w:rsidP="00904403">
    <w:pPr>
      <w:pStyle w:val="Footer"/>
      <w:pBdr>
        <w:top w:val="single" w:sz="4" w:space="1" w:color="auto"/>
      </w:pBdr>
      <w:jc w:val="center"/>
      <w:rPr>
        <w:rFonts w:cstheme="minorHAnsi"/>
        <w:sz w:val="20"/>
      </w:rPr>
    </w:pPr>
    <w:r w:rsidRPr="009019AA">
      <w:rPr>
        <w:rFonts w:cstheme="minorHAnsi"/>
        <w:sz w:val="20"/>
      </w:rPr>
      <w:t xml:space="preserve">Page </w:t>
    </w:r>
    <w:r w:rsidRPr="009019AA">
      <w:rPr>
        <w:rFonts w:cstheme="minorHAnsi"/>
        <w:sz w:val="20"/>
      </w:rPr>
      <w:fldChar w:fldCharType="begin"/>
    </w:r>
    <w:r w:rsidRPr="009019AA">
      <w:rPr>
        <w:rFonts w:cstheme="minorHAnsi"/>
        <w:sz w:val="20"/>
      </w:rPr>
      <w:instrText xml:space="preserve"> PAGE   \* MERGEFORMAT </w:instrText>
    </w:r>
    <w:r w:rsidRPr="009019AA">
      <w:rPr>
        <w:rFonts w:cstheme="minorHAnsi"/>
        <w:sz w:val="20"/>
      </w:rPr>
      <w:fldChar w:fldCharType="separate"/>
    </w:r>
    <w:r w:rsidR="009F4991">
      <w:rPr>
        <w:rFonts w:cstheme="minorHAnsi"/>
        <w:noProof/>
        <w:sz w:val="20"/>
      </w:rPr>
      <w:t>2</w:t>
    </w:r>
    <w:r w:rsidRPr="009019AA">
      <w:rPr>
        <w:rFonts w:cstheme="minorHAnsi"/>
        <w:noProof/>
        <w:sz w:val="20"/>
      </w:rPr>
      <w:fldChar w:fldCharType="end"/>
    </w:r>
  </w:p>
  <w:p w14:paraId="5238B974" w14:textId="77777777" w:rsidR="00547FA5" w:rsidRDefault="00547FA5"/>
  <w:p w14:paraId="652F777F" w14:textId="77777777" w:rsidR="00547FA5" w:rsidRDefault="00547FA5"/>
  <w:p w14:paraId="6908339A" w14:textId="77777777" w:rsidR="00547FA5" w:rsidRDefault="00547F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BDAEA" w14:textId="77777777" w:rsidR="004D6978" w:rsidRDefault="004D6978" w:rsidP="00AD632A">
      <w:r>
        <w:separator/>
      </w:r>
    </w:p>
  </w:footnote>
  <w:footnote w:type="continuationSeparator" w:id="0">
    <w:p w14:paraId="5239F25B" w14:textId="77777777" w:rsidR="004D6978" w:rsidRDefault="004D6978" w:rsidP="00AD6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56EEB"/>
    <w:multiLevelType w:val="hybridMultilevel"/>
    <w:tmpl w:val="21AE69AC"/>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nsid w:val="02A51A3D"/>
    <w:multiLevelType w:val="hybridMultilevel"/>
    <w:tmpl w:val="D9FA0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B915BB"/>
    <w:multiLevelType w:val="hybridMultilevel"/>
    <w:tmpl w:val="BE265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2A43C8"/>
    <w:multiLevelType w:val="hybridMultilevel"/>
    <w:tmpl w:val="AA12FF6A"/>
    <w:lvl w:ilvl="0" w:tplc="EE50217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069" w:hanging="360"/>
      </w:pPr>
      <w:rPr>
        <w:rFonts w:ascii="Courier New" w:hAnsi="Courier New" w:cs="Courier New" w:hint="default"/>
      </w:rPr>
    </w:lvl>
    <w:lvl w:ilvl="2" w:tplc="08090001">
      <w:start w:val="1"/>
      <w:numFmt w:val="bullet"/>
      <w:lvlText w:val=""/>
      <w:lvlJc w:val="left"/>
      <w:pPr>
        <w:ind w:left="1494"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D6111F"/>
    <w:multiLevelType w:val="hybridMultilevel"/>
    <w:tmpl w:val="056E9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5FB2FFC"/>
    <w:multiLevelType w:val="hybridMultilevel"/>
    <w:tmpl w:val="00C6FA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93"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6575D82"/>
    <w:multiLevelType w:val="hybridMultilevel"/>
    <w:tmpl w:val="F7563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7753B4F"/>
    <w:multiLevelType w:val="hybridMultilevel"/>
    <w:tmpl w:val="C7F6BD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07876892"/>
    <w:multiLevelType w:val="hybridMultilevel"/>
    <w:tmpl w:val="E17E4BA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nsid w:val="08677F84"/>
    <w:multiLevelType w:val="hybridMultilevel"/>
    <w:tmpl w:val="93CA1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484AB2"/>
    <w:multiLevelType w:val="hybridMultilevel"/>
    <w:tmpl w:val="AE1C0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C4C7D25"/>
    <w:multiLevelType w:val="hybridMultilevel"/>
    <w:tmpl w:val="86AE3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F001B28"/>
    <w:multiLevelType w:val="hybridMultilevel"/>
    <w:tmpl w:val="DB04C628"/>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5">
    <w:nsid w:val="0F66785F"/>
    <w:multiLevelType w:val="hybridMultilevel"/>
    <w:tmpl w:val="9C923C90"/>
    <w:lvl w:ilvl="0" w:tplc="0809000D">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275"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30C6061"/>
    <w:multiLevelType w:val="hybridMultilevel"/>
    <w:tmpl w:val="801C3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3E31618"/>
    <w:multiLevelType w:val="hybridMultilevel"/>
    <w:tmpl w:val="AB3A3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141925CE"/>
    <w:multiLevelType w:val="hybridMultilevel"/>
    <w:tmpl w:val="F74248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14372A53"/>
    <w:multiLevelType w:val="hybridMultilevel"/>
    <w:tmpl w:val="C902FB1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0">
    <w:nsid w:val="14831D92"/>
    <w:multiLevelType w:val="hybridMultilevel"/>
    <w:tmpl w:val="AC027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16230335"/>
    <w:multiLevelType w:val="hybridMultilevel"/>
    <w:tmpl w:val="A54861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768343B"/>
    <w:multiLevelType w:val="hybridMultilevel"/>
    <w:tmpl w:val="0486D3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17B82DA4"/>
    <w:multiLevelType w:val="hybridMultilevel"/>
    <w:tmpl w:val="8EAAA022"/>
    <w:lvl w:ilvl="0" w:tplc="08090001">
      <w:start w:val="1"/>
      <w:numFmt w:val="bullet"/>
      <w:lvlText w:val=""/>
      <w:lvlJc w:val="left"/>
      <w:pPr>
        <w:tabs>
          <w:tab w:val="num" w:pos="644"/>
        </w:tabs>
        <w:ind w:left="644"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191F6AB9"/>
    <w:multiLevelType w:val="hybridMultilevel"/>
    <w:tmpl w:val="1D3A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B6F36E4"/>
    <w:multiLevelType w:val="hybridMultilevel"/>
    <w:tmpl w:val="F3F47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BA84106"/>
    <w:multiLevelType w:val="hybridMultilevel"/>
    <w:tmpl w:val="689E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D66003C"/>
    <w:multiLevelType w:val="hybridMultilevel"/>
    <w:tmpl w:val="53520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DA440F8"/>
    <w:multiLevelType w:val="hybridMultilevel"/>
    <w:tmpl w:val="642ECD9E"/>
    <w:lvl w:ilvl="0" w:tplc="EE502172">
      <w:numFmt w:val="bullet"/>
      <w:lvlText w:val=""/>
      <w:lvlJc w:val="left"/>
      <w:pPr>
        <w:ind w:left="780" w:hanging="360"/>
      </w:pPr>
      <w:rPr>
        <w:rFonts w:ascii="Symbol" w:eastAsiaTheme="minorHAnsi" w:hAnsi="Symbol"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nsid w:val="1FCE4F36"/>
    <w:multiLevelType w:val="hybridMultilevel"/>
    <w:tmpl w:val="46443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1069"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3E11FB2"/>
    <w:multiLevelType w:val="hybridMultilevel"/>
    <w:tmpl w:val="2E76D7CC"/>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nsid w:val="24BA3113"/>
    <w:multiLevelType w:val="hybridMultilevel"/>
    <w:tmpl w:val="CEB6C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25A72B9D"/>
    <w:multiLevelType w:val="hybridMultilevel"/>
    <w:tmpl w:val="D49E3D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nsid w:val="26442CDC"/>
    <w:multiLevelType w:val="hybridMultilevel"/>
    <w:tmpl w:val="65FCD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287B2D4F"/>
    <w:multiLevelType w:val="hybridMultilevel"/>
    <w:tmpl w:val="E1D688C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5">
    <w:nsid w:val="29601446"/>
    <w:multiLevelType w:val="hybridMultilevel"/>
    <w:tmpl w:val="98F69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nsid w:val="2A1807D6"/>
    <w:multiLevelType w:val="hybridMultilevel"/>
    <w:tmpl w:val="A7EA2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DB06B47"/>
    <w:multiLevelType w:val="hybridMultilevel"/>
    <w:tmpl w:val="7B32B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2EE83A85"/>
    <w:multiLevelType w:val="hybridMultilevel"/>
    <w:tmpl w:val="A84AC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FA16751"/>
    <w:multiLevelType w:val="hybridMultilevel"/>
    <w:tmpl w:val="BA8E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FC60922"/>
    <w:multiLevelType w:val="hybridMultilevel"/>
    <w:tmpl w:val="0666F13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41">
    <w:nsid w:val="2FD24F55"/>
    <w:multiLevelType w:val="hybridMultilevel"/>
    <w:tmpl w:val="81A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FEA65E7"/>
    <w:multiLevelType w:val="hybridMultilevel"/>
    <w:tmpl w:val="DA3AA632"/>
    <w:lvl w:ilvl="0" w:tplc="EE502172">
      <w:numFmt w:val="bullet"/>
      <w:lvlText w:val=""/>
      <w:lvlJc w:val="left"/>
      <w:pPr>
        <w:ind w:left="720" w:hanging="360"/>
      </w:pPr>
      <w:rPr>
        <w:rFonts w:ascii="Symbol" w:eastAsiaTheme="minorHAnsi" w:hAnsi="Symbol" w:cstheme="minorBidi" w:hint="default"/>
      </w:rPr>
    </w:lvl>
    <w:lvl w:ilvl="1" w:tplc="0809000D">
      <w:start w:val="1"/>
      <w:numFmt w:val="bullet"/>
      <w:lvlText w:val=""/>
      <w:lvlJc w:val="left"/>
      <w:pPr>
        <w:ind w:left="1069"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0753006"/>
    <w:multiLevelType w:val="hybridMultilevel"/>
    <w:tmpl w:val="043E0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30AD15A5"/>
    <w:multiLevelType w:val="hybridMultilevel"/>
    <w:tmpl w:val="053E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113640B"/>
    <w:multiLevelType w:val="hybridMultilevel"/>
    <w:tmpl w:val="8FDA4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31454F99"/>
    <w:multiLevelType w:val="hybridMultilevel"/>
    <w:tmpl w:val="ADD2F3A8"/>
    <w:lvl w:ilvl="0" w:tplc="92E85FCC">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33CC5242"/>
    <w:multiLevelType w:val="hybridMultilevel"/>
    <w:tmpl w:val="DD64BE7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362325A8"/>
    <w:multiLevelType w:val="hybridMultilevel"/>
    <w:tmpl w:val="916ED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6807ED9"/>
    <w:multiLevelType w:val="hybridMultilevel"/>
    <w:tmpl w:val="10C0D72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0">
    <w:nsid w:val="36EC2847"/>
    <w:multiLevelType w:val="hybridMultilevel"/>
    <w:tmpl w:val="A67EB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374D5186"/>
    <w:multiLevelType w:val="hybridMultilevel"/>
    <w:tmpl w:val="89FC1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37C24777"/>
    <w:multiLevelType w:val="hybridMultilevel"/>
    <w:tmpl w:val="E9423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37F1692C"/>
    <w:multiLevelType w:val="hybridMultilevel"/>
    <w:tmpl w:val="AD901A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nsid w:val="38DE5FB7"/>
    <w:multiLevelType w:val="hybridMultilevel"/>
    <w:tmpl w:val="645EE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38EF6A82"/>
    <w:multiLevelType w:val="hybridMultilevel"/>
    <w:tmpl w:val="879E3FD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nsid w:val="3B637ACB"/>
    <w:multiLevelType w:val="hybridMultilevel"/>
    <w:tmpl w:val="04EAC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C5C6842"/>
    <w:multiLevelType w:val="hybridMultilevel"/>
    <w:tmpl w:val="EFB6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CE308F7"/>
    <w:multiLevelType w:val="hybridMultilevel"/>
    <w:tmpl w:val="DD9085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9">
    <w:nsid w:val="3F346947"/>
    <w:multiLevelType w:val="hybridMultilevel"/>
    <w:tmpl w:val="1A8EF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40C91641"/>
    <w:multiLevelType w:val="hybridMultilevel"/>
    <w:tmpl w:val="C94AC4A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410A58C3"/>
    <w:multiLevelType w:val="hybridMultilevel"/>
    <w:tmpl w:val="15ACA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411572C8"/>
    <w:multiLevelType w:val="hybridMultilevel"/>
    <w:tmpl w:val="4C1C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41842B61"/>
    <w:multiLevelType w:val="hybridMultilevel"/>
    <w:tmpl w:val="8710EE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429B772E"/>
    <w:multiLevelType w:val="hybridMultilevel"/>
    <w:tmpl w:val="FAF8970C"/>
    <w:lvl w:ilvl="0" w:tplc="44090001">
      <w:start w:val="1"/>
      <w:numFmt w:val="bullet"/>
      <w:lvlText w:val=""/>
      <w:lvlJc w:val="left"/>
      <w:pPr>
        <w:ind w:left="501" w:hanging="360"/>
      </w:pPr>
      <w:rPr>
        <w:rFonts w:ascii="Symbol" w:hAnsi="Symbol" w:hint="default"/>
      </w:rPr>
    </w:lvl>
    <w:lvl w:ilvl="1" w:tplc="44090003" w:tentative="1">
      <w:start w:val="1"/>
      <w:numFmt w:val="bullet"/>
      <w:lvlText w:val="o"/>
      <w:lvlJc w:val="left"/>
      <w:pPr>
        <w:ind w:left="1221" w:hanging="360"/>
      </w:pPr>
      <w:rPr>
        <w:rFonts w:ascii="Courier New" w:hAnsi="Courier New" w:cs="Courier New" w:hint="default"/>
      </w:rPr>
    </w:lvl>
    <w:lvl w:ilvl="2" w:tplc="44090005" w:tentative="1">
      <w:start w:val="1"/>
      <w:numFmt w:val="bullet"/>
      <w:lvlText w:val=""/>
      <w:lvlJc w:val="left"/>
      <w:pPr>
        <w:ind w:left="1941" w:hanging="360"/>
      </w:pPr>
      <w:rPr>
        <w:rFonts w:ascii="Wingdings" w:hAnsi="Wingdings" w:hint="default"/>
      </w:rPr>
    </w:lvl>
    <w:lvl w:ilvl="3" w:tplc="44090001" w:tentative="1">
      <w:start w:val="1"/>
      <w:numFmt w:val="bullet"/>
      <w:lvlText w:val=""/>
      <w:lvlJc w:val="left"/>
      <w:pPr>
        <w:ind w:left="2661" w:hanging="360"/>
      </w:pPr>
      <w:rPr>
        <w:rFonts w:ascii="Symbol" w:hAnsi="Symbol" w:hint="default"/>
      </w:rPr>
    </w:lvl>
    <w:lvl w:ilvl="4" w:tplc="44090003" w:tentative="1">
      <w:start w:val="1"/>
      <w:numFmt w:val="bullet"/>
      <w:lvlText w:val="o"/>
      <w:lvlJc w:val="left"/>
      <w:pPr>
        <w:ind w:left="3381" w:hanging="360"/>
      </w:pPr>
      <w:rPr>
        <w:rFonts w:ascii="Courier New" w:hAnsi="Courier New" w:cs="Courier New" w:hint="default"/>
      </w:rPr>
    </w:lvl>
    <w:lvl w:ilvl="5" w:tplc="44090005" w:tentative="1">
      <w:start w:val="1"/>
      <w:numFmt w:val="bullet"/>
      <w:lvlText w:val=""/>
      <w:lvlJc w:val="left"/>
      <w:pPr>
        <w:ind w:left="4101" w:hanging="360"/>
      </w:pPr>
      <w:rPr>
        <w:rFonts w:ascii="Wingdings" w:hAnsi="Wingdings" w:hint="default"/>
      </w:rPr>
    </w:lvl>
    <w:lvl w:ilvl="6" w:tplc="44090001" w:tentative="1">
      <w:start w:val="1"/>
      <w:numFmt w:val="bullet"/>
      <w:lvlText w:val=""/>
      <w:lvlJc w:val="left"/>
      <w:pPr>
        <w:ind w:left="4821" w:hanging="360"/>
      </w:pPr>
      <w:rPr>
        <w:rFonts w:ascii="Symbol" w:hAnsi="Symbol" w:hint="default"/>
      </w:rPr>
    </w:lvl>
    <w:lvl w:ilvl="7" w:tplc="44090003" w:tentative="1">
      <w:start w:val="1"/>
      <w:numFmt w:val="bullet"/>
      <w:lvlText w:val="o"/>
      <w:lvlJc w:val="left"/>
      <w:pPr>
        <w:ind w:left="5541" w:hanging="360"/>
      </w:pPr>
      <w:rPr>
        <w:rFonts w:ascii="Courier New" w:hAnsi="Courier New" w:cs="Courier New" w:hint="default"/>
      </w:rPr>
    </w:lvl>
    <w:lvl w:ilvl="8" w:tplc="44090005" w:tentative="1">
      <w:start w:val="1"/>
      <w:numFmt w:val="bullet"/>
      <w:lvlText w:val=""/>
      <w:lvlJc w:val="left"/>
      <w:pPr>
        <w:ind w:left="6261" w:hanging="360"/>
      </w:pPr>
      <w:rPr>
        <w:rFonts w:ascii="Wingdings" w:hAnsi="Wingdings" w:hint="default"/>
      </w:rPr>
    </w:lvl>
  </w:abstractNum>
  <w:abstractNum w:abstractNumId="65">
    <w:nsid w:val="43E1432D"/>
    <w:multiLevelType w:val="hybridMultilevel"/>
    <w:tmpl w:val="EE943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49A0E20"/>
    <w:multiLevelType w:val="hybridMultilevel"/>
    <w:tmpl w:val="34809A86"/>
    <w:lvl w:ilvl="0" w:tplc="0809000F">
      <w:start w:val="1"/>
      <w:numFmt w:val="decimal"/>
      <w:lvlText w:val="%1."/>
      <w:lvlJc w:val="left"/>
      <w:pPr>
        <w:ind w:left="36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44CD320F"/>
    <w:multiLevelType w:val="hybridMultilevel"/>
    <w:tmpl w:val="E11A42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47F0107F"/>
    <w:multiLevelType w:val="hybridMultilevel"/>
    <w:tmpl w:val="069E3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48AA599E"/>
    <w:multiLevelType w:val="hybridMultilevel"/>
    <w:tmpl w:val="8498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4A5570F8"/>
    <w:multiLevelType w:val="hybridMultilevel"/>
    <w:tmpl w:val="09AC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4AED24CB"/>
    <w:multiLevelType w:val="hybridMultilevel"/>
    <w:tmpl w:val="746E35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4B2A4DB9"/>
    <w:multiLevelType w:val="hybridMultilevel"/>
    <w:tmpl w:val="8C1A4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BAF30C3"/>
    <w:multiLevelType w:val="hybridMultilevel"/>
    <w:tmpl w:val="EC70262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4">
    <w:nsid w:val="4CF2128C"/>
    <w:multiLevelType w:val="hybridMultilevel"/>
    <w:tmpl w:val="45D682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5">
    <w:nsid w:val="4E59672F"/>
    <w:multiLevelType w:val="hybridMultilevel"/>
    <w:tmpl w:val="0018E2A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6">
    <w:nsid w:val="4FF810F1"/>
    <w:multiLevelType w:val="hybridMultilevel"/>
    <w:tmpl w:val="21565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513C2AC8"/>
    <w:multiLevelType w:val="hybridMultilevel"/>
    <w:tmpl w:val="EFB46F1C"/>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8">
    <w:nsid w:val="51D94A40"/>
    <w:multiLevelType w:val="hybridMultilevel"/>
    <w:tmpl w:val="96FA63F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9">
    <w:nsid w:val="531519E6"/>
    <w:multiLevelType w:val="hybridMultilevel"/>
    <w:tmpl w:val="999205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545A44D5"/>
    <w:multiLevelType w:val="hybridMultilevel"/>
    <w:tmpl w:val="CCFC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56693076"/>
    <w:multiLevelType w:val="hybridMultilevel"/>
    <w:tmpl w:val="5C882222"/>
    <w:lvl w:ilvl="0" w:tplc="08090001">
      <w:start w:val="1"/>
      <w:numFmt w:val="bullet"/>
      <w:lvlText w:val=""/>
      <w:lvlJc w:val="left"/>
      <w:pPr>
        <w:ind w:left="360" w:hanging="360"/>
      </w:pPr>
      <w:rPr>
        <w:rFonts w:ascii="Symbol" w:hAnsi="Symbol" w:hint="default"/>
      </w:rPr>
    </w:lvl>
    <w:lvl w:ilvl="1" w:tplc="B7467B7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nsid w:val="57B87483"/>
    <w:multiLevelType w:val="hybridMultilevel"/>
    <w:tmpl w:val="45DEA51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Wingdings"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Wingdings"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3">
    <w:nsid w:val="58AC0756"/>
    <w:multiLevelType w:val="hybridMultilevel"/>
    <w:tmpl w:val="598A54F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4">
    <w:nsid w:val="5FA34691"/>
    <w:multiLevelType w:val="hybridMultilevel"/>
    <w:tmpl w:val="B7189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624C4E33"/>
    <w:multiLevelType w:val="hybridMultilevel"/>
    <w:tmpl w:val="898059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625E71AD"/>
    <w:multiLevelType w:val="hybridMultilevel"/>
    <w:tmpl w:val="B98A7E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631B45A6"/>
    <w:multiLevelType w:val="hybridMultilevel"/>
    <w:tmpl w:val="78F82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8">
    <w:nsid w:val="63F615A2"/>
    <w:multiLevelType w:val="hybridMultilevel"/>
    <w:tmpl w:val="5C3A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4A010E8"/>
    <w:multiLevelType w:val="hybridMultilevel"/>
    <w:tmpl w:val="A2AC52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alibri"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alibri" w:hint="default"/>
      </w:rPr>
    </w:lvl>
    <w:lvl w:ilvl="8" w:tplc="04090005">
      <w:start w:val="1"/>
      <w:numFmt w:val="bullet"/>
      <w:lvlText w:val=""/>
      <w:lvlJc w:val="left"/>
      <w:pPr>
        <w:ind w:left="6120" w:hanging="360"/>
      </w:pPr>
      <w:rPr>
        <w:rFonts w:ascii="Wingdings" w:hAnsi="Wingdings" w:hint="default"/>
      </w:rPr>
    </w:lvl>
  </w:abstractNum>
  <w:abstractNum w:abstractNumId="90">
    <w:nsid w:val="69676F0C"/>
    <w:multiLevelType w:val="hybridMultilevel"/>
    <w:tmpl w:val="21540EE6"/>
    <w:lvl w:ilvl="0" w:tplc="A25629E8">
      <w:start w:val="1"/>
      <w:numFmt w:val="decimal"/>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91">
    <w:nsid w:val="6A894D40"/>
    <w:multiLevelType w:val="hybridMultilevel"/>
    <w:tmpl w:val="63A4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6C333431"/>
    <w:multiLevelType w:val="hybridMultilevel"/>
    <w:tmpl w:val="EB28E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6CA66C40"/>
    <w:multiLevelType w:val="hybridMultilevel"/>
    <w:tmpl w:val="EEEEC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6EAE494F"/>
    <w:multiLevelType w:val="hybridMultilevel"/>
    <w:tmpl w:val="1E26E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nsid w:val="6F16799E"/>
    <w:multiLevelType w:val="hybridMultilevel"/>
    <w:tmpl w:val="C6FADA6E"/>
    <w:lvl w:ilvl="0" w:tplc="92E85FCC">
      <w:start w:val="1"/>
      <w:numFmt w:val="decimal"/>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6">
    <w:nsid w:val="6F461423"/>
    <w:multiLevelType w:val="hybridMultilevel"/>
    <w:tmpl w:val="5F7C8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nsid w:val="6FCF3A66"/>
    <w:multiLevelType w:val="hybridMultilevel"/>
    <w:tmpl w:val="F0BE6EF0"/>
    <w:lvl w:ilvl="0" w:tplc="27DA1F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71632EE7"/>
    <w:multiLevelType w:val="hybridMultilevel"/>
    <w:tmpl w:val="EF66C31E"/>
    <w:lvl w:ilvl="0" w:tplc="04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9">
    <w:nsid w:val="742759A2"/>
    <w:multiLevelType w:val="hybridMultilevel"/>
    <w:tmpl w:val="D886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74A817E9"/>
    <w:multiLevelType w:val="hybridMultilevel"/>
    <w:tmpl w:val="FA703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74EA0DC6"/>
    <w:multiLevelType w:val="hybridMultilevel"/>
    <w:tmpl w:val="3E72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76526FC5"/>
    <w:multiLevelType w:val="hybridMultilevel"/>
    <w:tmpl w:val="31308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76F73F65"/>
    <w:multiLevelType w:val="hybridMultilevel"/>
    <w:tmpl w:val="68D89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nsid w:val="78121F08"/>
    <w:multiLevelType w:val="hybridMultilevel"/>
    <w:tmpl w:val="87146F5C"/>
    <w:lvl w:ilvl="0" w:tplc="0188F9B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789F3DA4"/>
    <w:multiLevelType w:val="hybridMultilevel"/>
    <w:tmpl w:val="9EF46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6">
    <w:nsid w:val="79341CBB"/>
    <w:multiLevelType w:val="hybridMultilevel"/>
    <w:tmpl w:val="1AFA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7E5D7E5F"/>
    <w:multiLevelType w:val="hybridMultilevel"/>
    <w:tmpl w:val="C85032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nsid w:val="7FB51F6A"/>
    <w:multiLevelType w:val="hybridMultilevel"/>
    <w:tmpl w:val="DC74E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42"/>
  </w:num>
  <w:num w:numId="3">
    <w:abstractNumId w:val="79"/>
  </w:num>
  <w:num w:numId="4">
    <w:abstractNumId w:val="71"/>
  </w:num>
  <w:num w:numId="5">
    <w:abstractNumId w:val="5"/>
  </w:num>
  <w:num w:numId="6">
    <w:abstractNumId w:val="77"/>
  </w:num>
  <w:num w:numId="7">
    <w:abstractNumId w:val="53"/>
  </w:num>
  <w:num w:numId="8">
    <w:abstractNumId w:val="101"/>
  </w:num>
  <w:num w:numId="9">
    <w:abstractNumId w:val="62"/>
  </w:num>
  <w:num w:numId="10">
    <w:abstractNumId w:val="26"/>
  </w:num>
  <w:num w:numId="11">
    <w:abstractNumId w:val="56"/>
  </w:num>
  <w:num w:numId="12">
    <w:abstractNumId w:val="86"/>
  </w:num>
  <w:num w:numId="13">
    <w:abstractNumId w:val="46"/>
  </w:num>
  <w:num w:numId="14">
    <w:abstractNumId w:val="95"/>
  </w:num>
  <w:num w:numId="15">
    <w:abstractNumId w:val="84"/>
  </w:num>
  <w:num w:numId="16">
    <w:abstractNumId w:val="4"/>
  </w:num>
  <w:num w:numId="17">
    <w:abstractNumId w:val="0"/>
  </w:num>
  <w:num w:numId="18">
    <w:abstractNumId w:val="1"/>
  </w:num>
  <w:num w:numId="19">
    <w:abstractNumId w:val="104"/>
  </w:num>
  <w:num w:numId="20">
    <w:abstractNumId w:val="36"/>
  </w:num>
  <w:num w:numId="21">
    <w:abstractNumId w:val="50"/>
  </w:num>
  <w:num w:numId="22">
    <w:abstractNumId w:val="92"/>
  </w:num>
  <w:num w:numId="23">
    <w:abstractNumId w:val="24"/>
  </w:num>
  <w:num w:numId="24">
    <w:abstractNumId w:val="23"/>
  </w:num>
  <w:num w:numId="25">
    <w:abstractNumId w:val="25"/>
  </w:num>
  <w:num w:numId="26">
    <w:abstractNumId w:val="54"/>
  </w:num>
  <w:num w:numId="27">
    <w:abstractNumId w:val="7"/>
  </w:num>
  <w:num w:numId="28">
    <w:abstractNumId w:val="55"/>
  </w:num>
  <w:num w:numId="29">
    <w:abstractNumId w:val="3"/>
  </w:num>
  <w:num w:numId="30">
    <w:abstractNumId w:val="19"/>
  </w:num>
  <w:num w:numId="31">
    <w:abstractNumId w:val="108"/>
  </w:num>
  <w:num w:numId="32">
    <w:abstractNumId w:val="27"/>
  </w:num>
  <w:num w:numId="33">
    <w:abstractNumId w:val="45"/>
  </w:num>
  <w:num w:numId="34">
    <w:abstractNumId w:val="29"/>
  </w:num>
  <w:num w:numId="35">
    <w:abstractNumId w:val="100"/>
  </w:num>
  <w:num w:numId="36">
    <w:abstractNumId w:val="2"/>
  </w:num>
  <w:num w:numId="37">
    <w:abstractNumId w:val="22"/>
  </w:num>
  <w:num w:numId="38">
    <w:abstractNumId w:val="99"/>
  </w:num>
  <w:num w:numId="39">
    <w:abstractNumId w:val="13"/>
  </w:num>
  <w:num w:numId="40">
    <w:abstractNumId w:val="81"/>
  </w:num>
  <w:num w:numId="41">
    <w:abstractNumId w:val="78"/>
  </w:num>
  <w:num w:numId="42">
    <w:abstractNumId w:val="14"/>
  </w:num>
  <w:num w:numId="43">
    <w:abstractNumId w:val="10"/>
  </w:num>
  <w:num w:numId="44">
    <w:abstractNumId w:val="87"/>
  </w:num>
  <w:num w:numId="45">
    <w:abstractNumId w:val="51"/>
  </w:num>
  <w:num w:numId="46">
    <w:abstractNumId w:val="85"/>
  </w:num>
  <w:num w:numId="47">
    <w:abstractNumId w:val="40"/>
  </w:num>
  <w:num w:numId="48">
    <w:abstractNumId w:val="34"/>
  </w:num>
  <w:num w:numId="49">
    <w:abstractNumId w:val="69"/>
  </w:num>
  <w:num w:numId="50">
    <w:abstractNumId w:val="59"/>
  </w:num>
  <w:num w:numId="51">
    <w:abstractNumId w:val="93"/>
  </w:num>
  <w:num w:numId="52">
    <w:abstractNumId w:val="91"/>
  </w:num>
  <w:num w:numId="53">
    <w:abstractNumId w:val="74"/>
  </w:num>
  <w:num w:numId="54">
    <w:abstractNumId w:val="48"/>
  </w:num>
  <w:num w:numId="55">
    <w:abstractNumId w:val="15"/>
  </w:num>
  <w:num w:numId="56">
    <w:abstractNumId w:val="57"/>
  </w:num>
  <w:num w:numId="57">
    <w:abstractNumId w:val="9"/>
  </w:num>
  <w:num w:numId="58">
    <w:abstractNumId w:val="49"/>
  </w:num>
  <w:num w:numId="59">
    <w:abstractNumId w:val="83"/>
  </w:num>
  <w:num w:numId="60">
    <w:abstractNumId w:val="75"/>
  </w:num>
  <w:num w:numId="61">
    <w:abstractNumId w:val="30"/>
  </w:num>
  <w:num w:numId="62">
    <w:abstractNumId w:val="39"/>
  </w:num>
  <w:num w:numId="63">
    <w:abstractNumId w:val="102"/>
  </w:num>
  <w:num w:numId="64">
    <w:abstractNumId w:val="20"/>
  </w:num>
  <w:num w:numId="65">
    <w:abstractNumId w:val="44"/>
  </w:num>
  <w:num w:numId="66">
    <w:abstractNumId w:val="80"/>
  </w:num>
  <w:num w:numId="67">
    <w:abstractNumId w:val="106"/>
  </w:num>
  <w:num w:numId="68">
    <w:abstractNumId w:val="70"/>
  </w:num>
  <w:num w:numId="69">
    <w:abstractNumId w:val="61"/>
  </w:num>
  <w:num w:numId="70">
    <w:abstractNumId w:val="17"/>
  </w:num>
  <w:num w:numId="71">
    <w:abstractNumId w:val="103"/>
  </w:num>
  <w:num w:numId="72">
    <w:abstractNumId w:val="96"/>
  </w:num>
  <w:num w:numId="73">
    <w:abstractNumId w:val="16"/>
  </w:num>
  <w:num w:numId="74">
    <w:abstractNumId w:val="37"/>
  </w:num>
  <w:num w:numId="75">
    <w:abstractNumId w:val="12"/>
  </w:num>
  <w:num w:numId="76">
    <w:abstractNumId w:val="88"/>
  </w:num>
  <w:num w:numId="77">
    <w:abstractNumId w:val="94"/>
  </w:num>
  <w:num w:numId="78">
    <w:abstractNumId w:val="6"/>
  </w:num>
  <w:num w:numId="79">
    <w:abstractNumId w:val="68"/>
  </w:num>
  <w:num w:numId="80">
    <w:abstractNumId w:val="76"/>
  </w:num>
  <w:num w:numId="81">
    <w:abstractNumId w:val="52"/>
  </w:num>
  <w:num w:numId="82">
    <w:abstractNumId w:val="21"/>
  </w:num>
  <w:num w:numId="83">
    <w:abstractNumId w:val="63"/>
  </w:num>
  <w:num w:numId="84">
    <w:abstractNumId w:val="65"/>
  </w:num>
  <w:num w:numId="85">
    <w:abstractNumId w:val="11"/>
  </w:num>
  <w:num w:numId="86">
    <w:abstractNumId w:val="72"/>
  </w:num>
  <w:num w:numId="87">
    <w:abstractNumId w:val="58"/>
  </w:num>
  <w:num w:numId="88">
    <w:abstractNumId w:val="105"/>
  </w:num>
  <w:num w:numId="89">
    <w:abstractNumId w:val="98"/>
  </w:num>
  <w:num w:numId="90">
    <w:abstractNumId w:val="35"/>
  </w:num>
  <w:num w:numId="91">
    <w:abstractNumId w:val="32"/>
  </w:num>
  <w:num w:numId="92">
    <w:abstractNumId w:val="82"/>
  </w:num>
  <w:num w:numId="93">
    <w:abstractNumId w:val="89"/>
  </w:num>
  <w:num w:numId="94">
    <w:abstractNumId w:val="60"/>
  </w:num>
  <w:num w:numId="95">
    <w:abstractNumId w:val="31"/>
  </w:num>
  <w:num w:numId="96">
    <w:abstractNumId w:val="90"/>
  </w:num>
  <w:num w:numId="97">
    <w:abstractNumId w:val="41"/>
  </w:num>
  <w:num w:numId="98">
    <w:abstractNumId w:val="38"/>
  </w:num>
  <w:num w:numId="99">
    <w:abstractNumId w:val="97"/>
  </w:num>
  <w:num w:numId="100">
    <w:abstractNumId w:val="64"/>
  </w:num>
  <w:num w:numId="101">
    <w:abstractNumId w:val="73"/>
  </w:num>
  <w:num w:numId="102">
    <w:abstractNumId w:val="47"/>
  </w:num>
  <w:num w:numId="103">
    <w:abstractNumId w:val="67"/>
  </w:num>
  <w:num w:numId="104">
    <w:abstractNumId w:val="107"/>
  </w:num>
  <w:num w:numId="105">
    <w:abstractNumId w:val="18"/>
  </w:num>
  <w:num w:numId="106">
    <w:abstractNumId w:val="66"/>
  </w:num>
  <w:num w:numId="107">
    <w:abstractNumId w:val="8"/>
  </w:num>
  <w:num w:numId="108">
    <w:abstractNumId w:val="43"/>
  </w:num>
  <w:num w:numId="109">
    <w:abstractNumId w:val="33"/>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B0"/>
    <w:rsid w:val="000110AF"/>
    <w:rsid w:val="000158FE"/>
    <w:rsid w:val="00020DE6"/>
    <w:rsid w:val="00023B65"/>
    <w:rsid w:val="00024F3B"/>
    <w:rsid w:val="000329A1"/>
    <w:rsid w:val="00050FE0"/>
    <w:rsid w:val="00056B2D"/>
    <w:rsid w:val="0006495B"/>
    <w:rsid w:val="00065A6A"/>
    <w:rsid w:val="00073B89"/>
    <w:rsid w:val="00081C23"/>
    <w:rsid w:val="00082EF2"/>
    <w:rsid w:val="0009177D"/>
    <w:rsid w:val="000A7E4F"/>
    <w:rsid w:val="000B1646"/>
    <w:rsid w:val="000B2C3A"/>
    <w:rsid w:val="000C0527"/>
    <w:rsid w:val="000C292A"/>
    <w:rsid w:val="000C4A02"/>
    <w:rsid w:val="000C4FE2"/>
    <w:rsid w:val="000C607B"/>
    <w:rsid w:val="000C7577"/>
    <w:rsid w:val="000C7E91"/>
    <w:rsid w:val="000D2B89"/>
    <w:rsid w:val="000D3F8B"/>
    <w:rsid w:val="000E23DA"/>
    <w:rsid w:val="000E7774"/>
    <w:rsid w:val="000F26F1"/>
    <w:rsid w:val="000F3848"/>
    <w:rsid w:val="000F38C3"/>
    <w:rsid w:val="000F3D4A"/>
    <w:rsid w:val="000F4089"/>
    <w:rsid w:val="000F4D4A"/>
    <w:rsid w:val="000F6AB3"/>
    <w:rsid w:val="000F7DCE"/>
    <w:rsid w:val="00100EA5"/>
    <w:rsid w:val="00106857"/>
    <w:rsid w:val="00111ED3"/>
    <w:rsid w:val="00115B10"/>
    <w:rsid w:val="001210BB"/>
    <w:rsid w:val="00125796"/>
    <w:rsid w:val="001257B5"/>
    <w:rsid w:val="0013001E"/>
    <w:rsid w:val="0013045A"/>
    <w:rsid w:val="001331B6"/>
    <w:rsid w:val="00141513"/>
    <w:rsid w:val="00143118"/>
    <w:rsid w:val="001446FF"/>
    <w:rsid w:val="001456F8"/>
    <w:rsid w:val="00147BCC"/>
    <w:rsid w:val="00151D65"/>
    <w:rsid w:val="00152458"/>
    <w:rsid w:val="00152A50"/>
    <w:rsid w:val="00153AB4"/>
    <w:rsid w:val="0015498A"/>
    <w:rsid w:val="0015511B"/>
    <w:rsid w:val="0015540C"/>
    <w:rsid w:val="0015670F"/>
    <w:rsid w:val="0015701D"/>
    <w:rsid w:val="0016142B"/>
    <w:rsid w:val="001647E3"/>
    <w:rsid w:val="0016693C"/>
    <w:rsid w:val="001732E4"/>
    <w:rsid w:val="001744CF"/>
    <w:rsid w:val="001753D1"/>
    <w:rsid w:val="001801D0"/>
    <w:rsid w:val="00180548"/>
    <w:rsid w:val="001822F0"/>
    <w:rsid w:val="00182A65"/>
    <w:rsid w:val="0018725B"/>
    <w:rsid w:val="00190329"/>
    <w:rsid w:val="00191114"/>
    <w:rsid w:val="00192A87"/>
    <w:rsid w:val="0019743F"/>
    <w:rsid w:val="001A235D"/>
    <w:rsid w:val="001A5C02"/>
    <w:rsid w:val="001A64D9"/>
    <w:rsid w:val="001A6D30"/>
    <w:rsid w:val="001A7AD9"/>
    <w:rsid w:val="001B5EC4"/>
    <w:rsid w:val="001B6161"/>
    <w:rsid w:val="001B7266"/>
    <w:rsid w:val="001B7E3F"/>
    <w:rsid w:val="001D1072"/>
    <w:rsid w:val="001D286B"/>
    <w:rsid w:val="001D5895"/>
    <w:rsid w:val="001D64A2"/>
    <w:rsid w:val="001E49DA"/>
    <w:rsid w:val="001F034E"/>
    <w:rsid w:val="001F1C22"/>
    <w:rsid w:val="001F3773"/>
    <w:rsid w:val="00201C15"/>
    <w:rsid w:val="00220909"/>
    <w:rsid w:val="002272E9"/>
    <w:rsid w:val="0022732C"/>
    <w:rsid w:val="002301C7"/>
    <w:rsid w:val="00241122"/>
    <w:rsid w:val="00250C43"/>
    <w:rsid w:val="00251A85"/>
    <w:rsid w:val="00256A89"/>
    <w:rsid w:val="002608BA"/>
    <w:rsid w:val="0026312A"/>
    <w:rsid w:val="00263E36"/>
    <w:rsid w:val="00265A84"/>
    <w:rsid w:val="00273DED"/>
    <w:rsid w:val="00280A2E"/>
    <w:rsid w:val="00280BA2"/>
    <w:rsid w:val="00284E73"/>
    <w:rsid w:val="002864CB"/>
    <w:rsid w:val="002879FE"/>
    <w:rsid w:val="0029051D"/>
    <w:rsid w:val="00297A63"/>
    <w:rsid w:val="002A2511"/>
    <w:rsid w:val="002A3422"/>
    <w:rsid w:val="002A53A6"/>
    <w:rsid w:val="002C1EE8"/>
    <w:rsid w:val="002C2727"/>
    <w:rsid w:val="002C34DB"/>
    <w:rsid w:val="002E1A52"/>
    <w:rsid w:val="0030128C"/>
    <w:rsid w:val="003058D5"/>
    <w:rsid w:val="0030688C"/>
    <w:rsid w:val="00306FA8"/>
    <w:rsid w:val="00311BE6"/>
    <w:rsid w:val="0032142E"/>
    <w:rsid w:val="0032193A"/>
    <w:rsid w:val="00324BA9"/>
    <w:rsid w:val="00331D44"/>
    <w:rsid w:val="00334B30"/>
    <w:rsid w:val="00335DF3"/>
    <w:rsid w:val="00336A25"/>
    <w:rsid w:val="00343DF6"/>
    <w:rsid w:val="003506BC"/>
    <w:rsid w:val="003622A6"/>
    <w:rsid w:val="00365520"/>
    <w:rsid w:val="00366766"/>
    <w:rsid w:val="00371085"/>
    <w:rsid w:val="00375241"/>
    <w:rsid w:val="00377A62"/>
    <w:rsid w:val="00385A7E"/>
    <w:rsid w:val="003905FE"/>
    <w:rsid w:val="00391CA4"/>
    <w:rsid w:val="00391CB3"/>
    <w:rsid w:val="0039395F"/>
    <w:rsid w:val="003943E8"/>
    <w:rsid w:val="00396A5F"/>
    <w:rsid w:val="003A48A5"/>
    <w:rsid w:val="003A5825"/>
    <w:rsid w:val="003B68C4"/>
    <w:rsid w:val="003B6932"/>
    <w:rsid w:val="003B6ADE"/>
    <w:rsid w:val="003B6E84"/>
    <w:rsid w:val="003B7253"/>
    <w:rsid w:val="003C1871"/>
    <w:rsid w:val="003C643D"/>
    <w:rsid w:val="003D0386"/>
    <w:rsid w:val="003D3351"/>
    <w:rsid w:val="003E1433"/>
    <w:rsid w:val="003E4313"/>
    <w:rsid w:val="003E73AF"/>
    <w:rsid w:val="003F50CC"/>
    <w:rsid w:val="00400D1C"/>
    <w:rsid w:val="00402FE0"/>
    <w:rsid w:val="00404157"/>
    <w:rsid w:val="00407D8A"/>
    <w:rsid w:val="0041016D"/>
    <w:rsid w:val="00422281"/>
    <w:rsid w:val="00422AFC"/>
    <w:rsid w:val="004232C3"/>
    <w:rsid w:val="00432A3E"/>
    <w:rsid w:val="0043384A"/>
    <w:rsid w:val="00436042"/>
    <w:rsid w:val="00436F15"/>
    <w:rsid w:val="00450BFB"/>
    <w:rsid w:val="0045478C"/>
    <w:rsid w:val="00456344"/>
    <w:rsid w:val="004568CA"/>
    <w:rsid w:val="004568F7"/>
    <w:rsid w:val="00456C59"/>
    <w:rsid w:val="00461573"/>
    <w:rsid w:val="00464179"/>
    <w:rsid w:val="00467E22"/>
    <w:rsid w:val="00470B9B"/>
    <w:rsid w:val="00471854"/>
    <w:rsid w:val="00476B46"/>
    <w:rsid w:val="00477DA7"/>
    <w:rsid w:val="00480CBF"/>
    <w:rsid w:val="00482D26"/>
    <w:rsid w:val="00484859"/>
    <w:rsid w:val="00491D30"/>
    <w:rsid w:val="004A5609"/>
    <w:rsid w:val="004A7DF6"/>
    <w:rsid w:val="004B0449"/>
    <w:rsid w:val="004B50FB"/>
    <w:rsid w:val="004C0533"/>
    <w:rsid w:val="004C3806"/>
    <w:rsid w:val="004C47CC"/>
    <w:rsid w:val="004C4991"/>
    <w:rsid w:val="004C5B66"/>
    <w:rsid w:val="004C7F2A"/>
    <w:rsid w:val="004D207C"/>
    <w:rsid w:val="004D478C"/>
    <w:rsid w:val="004D6978"/>
    <w:rsid w:val="004D6B03"/>
    <w:rsid w:val="004E304F"/>
    <w:rsid w:val="004F19EA"/>
    <w:rsid w:val="004F716F"/>
    <w:rsid w:val="004F7E2F"/>
    <w:rsid w:val="005006A3"/>
    <w:rsid w:val="00502E48"/>
    <w:rsid w:val="00515A67"/>
    <w:rsid w:val="00523918"/>
    <w:rsid w:val="005327F5"/>
    <w:rsid w:val="005372E4"/>
    <w:rsid w:val="00542140"/>
    <w:rsid w:val="00542BD7"/>
    <w:rsid w:val="005458A4"/>
    <w:rsid w:val="00546F3D"/>
    <w:rsid w:val="00547E86"/>
    <w:rsid w:val="00547FA5"/>
    <w:rsid w:val="00553AE9"/>
    <w:rsid w:val="00555900"/>
    <w:rsid w:val="00562F46"/>
    <w:rsid w:val="00565E56"/>
    <w:rsid w:val="00567901"/>
    <w:rsid w:val="00570327"/>
    <w:rsid w:val="005712BA"/>
    <w:rsid w:val="00571C7E"/>
    <w:rsid w:val="00577F36"/>
    <w:rsid w:val="0058419D"/>
    <w:rsid w:val="0058577B"/>
    <w:rsid w:val="00586D41"/>
    <w:rsid w:val="00587319"/>
    <w:rsid w:val="0059139F"/>
    <w:rsid w:val="00596371"/>
    <w:rsid w:val="005A0B65"/>
    <w:rsid w:val="005A3856"/>
    <w:rsid w:val="005B5FF7"/>
    <w:rsid w:val="005D1D86"/>
    <w:rsid w:val="005D64EE"/>
    <w:rsid w:val="005E6D76"/>
    <w:rsid w:val="005F01D3"/>
    <w:rsid w:val="005F0D77"/>
    <w:rsid w:val="005F4DD9"/>
    <w:rsid w:val="005F694C"/>
    <w:rsid w:val="00602161"/>
    <w:rsid w:val="006029AB"/>
    <w:rsid w:val="00603D8F"/>
    <w:rsid w:val="00606CC2"/>
    <w:rsid w:val="006133E5"/>
    <w:rsid w:val="00622094"/>
    <w:rsid w:val="0062543C"/>
    <w:rsid w:val="00635B49"/>
    <w:rsid w:val="00636CF7"/>
    <w:rsid w:val="006410F2"/>
    <w:rsid w:val="00642698"/>
    <w:rsid w:val="00642917"/>
    <w:rsid w:val="006509F5"/>
    <w:rsid w:val="0065260A"/>
    <w:rsid w:val="00653B91"/>
    <w:rsid w:val="0065425C"/>
    <w:rsid w:val="00654B7D"/>
    <w:rsid w:val="006563BE"/>
    <w:rsid w:val="00656E26"/>
    <w:rsid w:val="00657A6A"/>
    <w:rsid w:val="006632C7"/>
    <w:rsid w:val="00670FA1"/>
    <w:rsid w:val="00681DE1"/>
    <w:rsid w:val="00683C58"/>
    <w:rsid w:val="00691423"/>
    <w:rsid w:val="00697FF2"/>
    <w:rsid w:val="006A14DA"/>
    <w:rsid w:val="006A49AB"/>
    <w:rsid w:val="006B1AD1"/>
    <w:rsid w:val="006B6296"/>
    <w:rsid w:val="006C5AE5"/>
    <w:rsid w:val="006D1DEA"/>
    <w:rsid w:val="006D2546"/>
    <w:rsid w:val="006D69BA"/>
    <w:rsid w:val="006E0AE1"/>
    <w:rsid w:val="006E4177"/>
    <w:rsid w:val="006F530F"/>
    <w:rsid w:val="006F7C73"/>
    <w:rsid w:val="007017AF"/>
    <w:rsid w:val="007064A6"/>
    <w:rsid w:val="0071030D"/>
    <w:rsid w:val="007109E0"/>
    <w:rsid w:val="00716335"/>
    <w:rsid w:val="00716A54"/>
    <w:rsid w:val="00716DD9"/>
    <w:rsid w:val="007179DA"/>
    <w:rsid w:val="00723E06"/>
    <w:rsid w:val="00724836"/>
    <w:rsid w:val="00735858"/>
    <w:rsid w:val="007463D5"/>
    <w:rsid w:val="00755525"/>
    <w:rsid w:val="00763C1A"/>
    <w:rsid w:val="007671FF"/>
    <w:rsid w:val="0077048F"/>
    <w:rsid w:val="00777928"/>
    <w:rsid w:val="00780C76"/>
    <w:rsid w:val="00780FBB"/>
    <w:rsid w:val="00782083"/>
    <w:rsid w:val="00782E34"/>
    <w:rsid w:val="00791238"/>
    <w:rsid w:val="007937C4"/>
    <w:rsid w:val="007A1460"/>
    <w:rsid w:val="007B3764"/>
    <w:rsid w:val="007C2EBE"/>
    <w:rsid w:val="007C3674"/>
    <w:rsid w:val="007D0948"/>
    <w:rsid w:val="007D2A37"/>
    <w:rsid w:val="007E4E46"/>
    <w:rsid w:val="007E6A1D"/>
    <w:rsid w:val="007F388F"/>
    <w:rsid w:val="007F3EB2"/>
    <w:rsid w:val="007F457E"/>
    <w:rsid w:val="0080042E"/>
    <w:rsid w:val="00800FEA"/>
    <w:rsid w:val="008051B3"/>
    <w:rsid w:val="00806DAF"/>
    <w:rsid w:val="00822906"/>
    <w:rsid w:val="008260D3"/>
    <w:rsid w:val="008268A7"/>
    <w:rsid w:val="00831DB8"/>
    <w:rsid w:val="0083340E"/>
    <w:rsid w:val="00853B24"/>
    <w:rsid w:val="00867DE3"/>
    <w:rsid w:val="00870F1F"/>
    <w:rsid w:val="00874B45"/>
    <w:rsid w:val="00876B5D"/>
    <w:rsid w:val="00881067"/>
    <w:rsid w:val="008821D4"/>
    <w:rsid w:val="0088375F"/>
    <w:rsid w:val="008849C8"/>
    <w:rsid w:val="0088589E"/>
    <w:rsid w:val="008963B0"/>
    <w:rsid w:val="00896D00"/>
    <w:rsid w:val="0089760C"/>
    <w:rsid w:val="008A00EE"/>
    <w:rsid w:val="008A30B3"/>
    <w:rsid w:val="008A5B05"/>
    <w:rsid w:val="008B1768"/>
    <w:rsid w:val="008B26E3"/>
    <w:rsid w:val="008C1CBA"/>
    <w:rsid w:val="008C271B"/>
    <w:rsid w:val="008C4031"/>
    <w:rsid w:val="008C46B0"/>
    <w:rsid w:val="008C54B9"/>
    <w:rsid w:val="008D201C"/>
    <w:rsid w:val="008D3A41"/>
    <w:rsid w:val="008D4D0A"/>
    <w:rsid w:val="008D5C4A"/>
    <w:rsid w:val="008D6FE9"/>
    <w:rsid w:val="008E0EF4"/>
    <w:rsid w:val="008E3452"/>
    <w:rsid w:val="008E4D29"/>
    <w:rsid w:val="008E71DF"/>
    <w:rsid w:val="008F5D74"/>
    <w:rsid w:val="00900BF7"/>
    <w:rsid w:val="009019AA"/>
    <w:rsid w:val="00904403"/>
    <w:rsid w:val="009050AD"/>
    <w:rsid w:val="00906FFE"/>
    <w:rsid w:val="00907D1D"/>
    <w:rsid w:val="00910E6B"/>
    <w:rsid w:val="00913015"/>
    <w:rsid w:val="009153A4"/>
    <w:rsid w:val="00924789"/>
    <w:rsid w:val="0092493B"/>
    <w:rsid w:val="0092583E"/>
    <w:rsid w:val="00927D76"/>
    <w:rsid w:val="009301C9"/>
    <w:rsid w:val="00932F6F"/>
    <w:rsid w:val="00933732"/>
    <w:rsid w:val="00940579"/>
    <w:rsid w:val="009506F1"/>
    <w:rsid w:val="00951E41"/>
    <w:rsid w:val="00953AEB"/>
    <w:rsid w:val="00956272"/>
    <w:rsid w:val="0095754B"/>
    <w:rsid w:val="009724E8"/>
    <w:rsid w:val="0097303E"/>
    <w:rsid w:val="00974B38"/>
    <w:rsid w:val="00975C87"/>
    <w:rsid w:val="00985E42"/>
    <w:rsid w:val="00986E00"/>
    <w:rsid w:val="0099034D"/>
    <w:rsid w:val="00993CC5"/>
    <w:rsid w:val="00996D53"/>
    <w:rsid w:val="00996E4B"/>
    <w:rsid w:val="009972A5"/>
    <w:rsid w:val="009A24E2"/>
    <w:rsid w:val="009A4890"/>
    <w:rsid w:val="009A4D62"/>
    <w:rsid w:val="009A601B"/>
    <w:rsid w:val="009A6A1A"/>
    <w:rsid w:val="009B0558"/>
    <w:rsid w:val="009B5518"/>
    <w:rsid w:val="009B6548"/>
    <w:rsid w:val="009C2F52"/>
    <w:rsid w:val="009C37C5"/>
    <w:rsid w:val="009C70F8"/>
    <w:rsid w:val="009D0C18"/>
    <w:rsid w:val="009D435D"/>
    <w:rsid w:val="009E0D1A"/>
    <w:rsid w:val="009E26C9"/>
    <w:rsid w:val="009E3F71"/>
    <w:rsid w:val="009E6823"/>
    <w:rsid w:val="009F4991"/>
    <w:rsid w:val="009F4F47"/>
    <w:rsid w:val="009F5320"/>
    <w:rsid w:val="00A0007A"/>
    <w:rsid w:val="00A034E7"/>
    <w:rsid w:val="00A108D5"/>
    <w:rsid w:val="00A150B2"/>
    <w:rsid w:val="00A163BC"/>
    <w:rsid w:val="00A20D93"/>
    <w:rsid w:val="00A23686"/>
    <w:rsid w:val="00A3086C"/>
    <w:rsid w:val="00A3753C"/>
    <w:rsid w:val="00A44552"/>
    <w:rsid w:val="00A46FB8"/>
    <w:rsid w:val="00A575D2"/>
    <w:rsid w:val="00A60AB7"/>
    <w:rsid w:val="00A62B04"/>
    <w:rsid w:val="00A62D86"/>
    <w:rsid w:val="00A64359"/>
    <w:rsid w:val="00A6617C"/>
    <w:rsid w:val="00A66AC6"/>
    <w:rsid w:val="00A7142D"/>
    <w:rsid w:val="00A86AF8"/>
    <w:rsid w:val="00A96052"/>
    <w:rsid w:val="00AA2D18"/>
    <w:rsid w:val="00AA5F89"/>
    <w:rsid w:val="00AA6E80"/>
    <w:rsid w:val="00AB3832"/>
    <w:rsid w:val="00AC08BD"/>
    <w:rsid w:val="00AC19CE"/>
    <w:rsid w:val="00AC41F9"/>
    <w:rsid w:val="00AD632A"/>
    <w:rsid w:val="00AE05C6"/>
    <w:rsid w:val="00AE1902"/>
    <w:rsid w:val="00AE1D09"/>
    <w:rsid w:val="00AE50AF"/>
    <w:rsid w:val="00AE5244"/>
    <w:rsid w:val="00AE539E"/>
    <w:rsid w:val="00AF57D5"/>
    <w:rsid w:val="00AF6E53"/>
    <w:rsid w:val="00B05E87"/>
    <w:rsid w:val="00B1317B"/>
    <w:rsid w:val="00B134B1"/>
    <w:rsid w:val="00B13664"/>
    <w:rsid w:val="00B15DF6"/>
    <w:rsid w:val="00B162C0"/>
    <w:rsid w:val="00B21F39"/>
    <w:rsid w:val="00B25178"/>
    <w:rsid w:val="00B259DB"/>
    <w:rsid w:val="00B25DAD"/>
    <w:rsid w:val="00B272C6"/>
    <w:rsid w:val="00B2781A"/>
    <w:rsid w:val="00B36E80"/>
    <w:rsid w:val="00B43761"/>
    <w:rsid w:val="00B476CF"/>
    <w:rsid w:val="00B53CCC"/>
    <w:rsid w:val="00B57057"/>
    <w:rsid w:val="00B61FEF"/>
    <w:rsid w:val="00B70640"/>
    <w:rsid w:val="00B75A3E"/>
    <w:rsid w:val="00B7642D"/>
    <w:rsid w:val="00B80BC5"/>
    <w:rsid w:val="00B90F3E"/>
    <w:rsid w:val="00B91158"/>
    <w:rsid w:val="00B940D3"/>
    <w:rsid w:val="00B97635"/>
    <w:rsid w:val="00BA1988"/>
    <w:rsid w:val="00BA4328"/>
    <w:rsid w:val="00BA5506"/>
    <w:rsid w:val="00BA6A58"/>
    <w:rsid w:val="00BB3980"/>
    <w:rsid w:val="00BC1541"/>
    <w:rsid w:val="00BC3C77"/>
    <w:rsid w:val="00BC3F23"/>
    <w:rsid w:val="00BC6A2B"/>
    <w:rsid w:val="00BC7813"/>
    <w:rsid w:val="00BD1C43"/>
    <w:rsid w:val="00BD4E77"/>
    <w:rsid w:val="00BD587D"/>
    <w:rsid w:val="00BE2171"/>
    <w:rsid w:val="00BE2BAA"/>
    <w:rsid w:val="00BE7EF3"/>
    <w:rsid w:val="00BF4124"/>
    <w:rsid w:val="00C01F39"/>
    <w:rsid w:val="00C02365"/>
    <w:rsid w:val="00C03CE7"/>
    <w:rsid w:val="00C053C4"/>
    <w:rsid w:val="00C058F7"/>
    <w:rsid w:val="00C137D7"/>
    <w:rsid w:val="00C16584"/>
    <w:rsid w:val="00C17757"/>
    <w:rsid w:val="00C17AFF"/>
    <w:rsid w:val="00C2030B"/>
    <w:rsid w:val="00C21DEA"/>
    <w:rsid w:val="00C2233D"/>
    <w:rsid w:val="00C340AC"/>
    <w:rsid w:val="00C403F4"/>
    <w:rsid w:val="00C422D3"/>
    <w:rsid w:val="00C46B02"/>
    <w:rsid w:val="00C52214"/>
    <w:rsid w:val="00C6348B"/>
    <w:rsid w:val="00C6709B"/>
    <w:rsid w:val="00C6790F"/>
    <w:rsid w:val="00C70DC0"/>
    <w:rsid w:val="00C71EC3"/>
    <w:rsid w:val="00C7733B"/>
    <w:rsid w:val="00C775E6"/>
    <w:rsid w:val="00C8068F"/>
    <w:rsid w:val="00C87263"/>
    <w:rsid w:val="00C96697"/>
    <w:rsid w:val="00CA4194"/>
    <w:rsid w:val="00CA5D23"/>
    <w:rsid w:val="00CA5EA5"/>
    <w:rsid w:val="00CA6433"/>
    <w:rsid w:val="00CB1915"/>
    <w:rsid w:val="00CB1BC0"/>
    <w:rsid w:val="00CB39C3"/>
    <w:rsid w:val="00CB4083"/>
    <w:rsid w:val="00CC1ED7"/>
    <w:rsid w:val="00CC203F"/>
    <w:rsid w:val="00CD00FD"/>
    <w:rsid w:val="00CD0796"/>
    <w:rsid w:val="00CD490A"/>
    <w:rsid w:val="00CE163F"/>
    <w:rsid w:val="00CE35F2"/>
    <w:rsid w:val="00CF053E"/>
    <w:rsid w:val="00CF054E"/>
    <w:rsid w:val="00CF09EF"/>
    <w:rsid w:val="00CF6BA0"/>
    <w:rsid w:val="00D02399"/>
    <w:rsid w:val="00D0259B"/>
    <w:rsid w:val="00D06B9A"/>
    <w:rsid w:val="00D06F74"/>
    <w:rsid w:val="00D10E52"/>
    <w:rsid w:val="00D12506"/>
    <w:rsid w:val="00D1392F"/>
    <w:rsid w:val="00D144CF"/>
    <w:rsid w:val="00D26422"/>
    <w:rsid w:val="00D26AFB"/>
    <w:rsid w:val="00D379F6"/>
    <w:rsid w:val="00D37B64"/>
    <w:rsid w:val="00D455F9"/>
    <w:rsid w:val="00D468DC"/>
    <w:rsid w:val="00D479F5"/>
    <w:rsid w:val="00D51B81"/>
    <w:rsid w:val="00D532C1"/>
    <w:rsid w:val="00D60984"/>
    <w:rsid w:val="00D67C80"/>
    <w:rsid w:val="00D702AA"/>
    <w:rsid w:val="00D707CC"/>
    <w:rsid w:val="00D7790C"/>
    <w:rsid w:val="00D83BBE"/>
    <w:rsid w:val="00D83F87"/>
    <w:rsid w:val="00D877B5"/>
    <w:rsid w:val="00D927B2"/>
    <w:rsid w:val="00D93D2A"/>
    <w:rsid w:val="00DA2F46"/>
    <w:rsid w:val="00DA4487"/>
    <w:rsid w:val="00DB40AE"/>
    <w:rsid w:val="00DB45BF"/>
    <w:rsid w:val="00DC5E21"/>
    <w:rsid w:val="00DD0719"/>
    <w:rsid w:val="00DD19EF"/>
    <w:rsid w:val="00DD308D"/>
    <w:rsid w:val="00DD3FA2"/>
    <w:rsid w:val="00DE06FD"/>
    <w:rsid w:val="00DE1353"/>
    <w:rsid w:val="00DE2F40"/>
    <w:rsid w:val="00DE43F4"/>
    <w:rsid w:val="00DE68C8"/>
    <w:rsid w:val="00DF0AB0"/>
    <w:rsid w:val="00DF3C8F"/>
    <w:rsid w:val="00DF5532"/>
    <w:rsid w:val="00DF59EF"/>
    <w:rsid w:val="00DF5A90"/>
    <w:rsid w:val="00E00AB1"/>
    <w:rsid w:val="00E01E9A"/>
    <w:rsid w:val="00E025BF"/>
    <w:rsid w:val="00E133B9"/>
    <w:rsid w:val="00E147D4"/>
    <w:rsid w:val="00E17BAD"/>
    <w:rsid w:val="00E215E4"/>
    <w:rsid w:val="00E3604E"/>
    <w:rsid w:val="00E42748"/>
    <w:rsid w:val="00E46C81"/>
    <w:rsid w:val="00E571EA"/>
    <w:rsid w:val="00E6249A"/>
    <w:rsid w:val="00E70152"/>
    <w:rsid w:val="00E7083B"/>
    <w:rsid w:val="00E712F9"/>
    <w:rsid w:val="00E7216A"/>
    <w:rsid w:val="00E755BD"/>
    <w:rsid w:val="00E81872"/>
    <w:rsid w:val="00E8298A"/>
    <w:rsid w:val="00E83FF7"/>
    <w:rsid w:val="00E8721D"/>
    <w:rsid w:val="00E91341"/>
    <w:rsid w:val="00E9182B"/>
    <w:rsid w:val="00E93BDF"/>
    <w:rsid w:val="00EA278C"/>
    <w:rsid w:val="00EA28BD"/>
    <w:rsid w:val="00EA7788"/>
    <w:rsid w:val="00EB0126"/>
    <w:rsid w:val="00EB2075"/>
    <w:rsid w:val="00EB4C6E"/>
    <w:rsid w:val="00EB55F8"/>
    <w:rsid w:val="00EC4CD0"/>
    <w:rsid w:val="00EC7236"/>
    <w:rsid w:val="00ED1E7D"/>
    <w:rsid w:val="00ED35CB"/>
    <w:rsid w:val="00ED5833"/>
    <w:rsid w:val="00EE0439"/>
    <w:rsid w:val="00EE1DAD"/>
    <w:rsid w:val="00EE26B2"/>
    <w:rsid w:val="00EE5ACE"/>
    <w:rsid w:val="00EF0B39"/>
    <w:rsid w:val="00EF1112"/>
    <w:rsid w:val="00EF139D"/>
    <w:rsid w:val="00EF1DA6"/>
    <w:rsid w:val="00EF2220"/>
    <w:rsid w:val="00EF40BE"/>
    <w:rsid w:val="00EF73D8"/>
    <w:rsid w:val="00F01F76"/>
    <w:rsid w:val="00F040A4"/>
    <w:rsid w:val="00F17A04"/>
    <w:rsid w:val="00F21595"/>
    <w:rsid w:val="00F2392F"/>
    <w:rsid w:val="00F24752"/>
    <w:rsid w:val="00F251FF"/>
    <w:rsid w:val="00F2694B"/>
    <w:rsid w:val="00F3098B"/>
    <w:rsid w:val="00F30D8E"/>
    <w:rsid w:val="00F359AA"/>
    <w:rsid w:val="00F411BC"/>
    <w:rsid w:val="00F46507"/>
    <w:rsid w:val="00F46AA0"/>
    <w:rsid w:val="00F4743A"/>
    <w:rsid w:val="00F51CB3"/>
    <w:rsid w:val="00F53CE8"/>
    <w:rsid w:val="00F64A66"/>
    <w:rsid w:val="00F66689"/>
    <w:rsid w:val="00F66B67"/>
    <w:rsid w:val="00F67155"/>
    <w:rsid w:val="00F7410D"/>
    <w:rsid w:val="00F7477D"/>
    <w:rsid w:val="00F80827"/>
    <w:rsid w:val="00F934EE"/>
    <w:rsid w:val="00F93EFF"/>
    <w:rsid w:val="00F978A5"/>
    <w:rsid w:val="00FA04DD"/>
    <w:rsid w:val="00FA1316"/>
    <w:rsid w:val="00FA53AB"/>
    <w:rsid w:val="00FA7B95"/>
    <w:rsid w:val="00FB0FD8"/>
    <w:rsid w:val="00FB1843"/>
    <w:rsid w:val="00FB690C"/>
    <w:rsid w:val="00FC4176"/>
    <w:rsid w:val="00FD15BB"/>
    <w:rsid w:val="00FD15E0"/>
    <w:rsid w:val="00FD5AE9"/>
    <w:rsid w:val="00FE7AE4"/>
    <w:rsid w:val="00FF08CF"/>
    <w:rsid w:val="00FF2112"/>
    <w:rsid w:val="00FF363C"/>
    <w:rsid w:val="00FF58F7"/>
    <w:rsid w:val="00FF5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6A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AE"/>
    <w:pPr>
      <w:spacing w:after="0" w:line="240" w:lineRule="auto"/>
    </w:pPr>
  </w:style>
  <w:style w:type="paragraph" w:styleId="Heading1">
    <w:name w:val="heading 1"/>
    <w:basedOn w:val="Normal"/>
    <w:next w:val="Normal"/>
    <w:link w:val="Heading1Char"/>
    <w:uiPriority w:val="9"/>
    <w:qFormat/>
    <w:rsid w:val="00CA4194"/>
    <w:pPr>
      <w:keepNext/>
      <w:keepLines/>
      <w:spacing w:before="480"/>
      <w:jc w:val="both"/>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DA44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44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E81872"/>
    <w:rPr>
      <w:rFonts w:ascii="Tahoma" w:hAnsi="Tahoma" w:cs="Tahoma"/>
      <w:sz w:val="16"/>
      <w:szCs w:val="16"/>
    </w:rPr>
  </w:style>
  <w:style w:type="character" w:customStyle="1" w:styleId="BalloonTextChar">
    <w:name w:val="Balloon Text Char"/>
    <w:basedOn w:val="DefaultParagraphFont"/>
    <w:link w:val="BalloonText"/>
    <w:uiPriority w:val="99"/>
    <w:semiHidden/>
    <w:rsid w:val="00E81872"/>
    <w:rPr>
      <w:rFonts w:ascii="Tahoma" w:hAnsi="Tahoma" w:cs="Tahoma"/>
      <w:sz w:val="16"/>
      <w:szCs w:val="16"/>
    </w:rPr>
  </w:style>
  <w:style w:type="table" w:styleId="TableGrid">
    <w:name w:val="Table Grid"/>
    <w:basedOn w:val="TableNormal"/>
    <w:uiPriority w:val="59"/>
    <w:rsid w:val="00E81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3AF"/>
    <w:pPr>
      <w:ind w:left="720"/>
      <w:contextualSpacing/>
    </w:pPr>
  </w:style>
  <w:style w:type="character" w:styleId="Hyperlink">
    <w:name w:val="Hyperlink"/>
    <w:basedOn w:val="DefaultParagraphFont"/>
    <w:uiPriority w:val="99"/>
    <w:unhideWhenUsed/>
    <w:rsid w:val="00A66AC6"/>
    <w:rPr>
      <w:color w:val="0000FF" w:themeColor="hyperlink"/>
      <w:u w:val="single"/>
    </w:rPr>
  </w:style>
  <w:style w:type="character" w:styleId="FollowedHyperlink">
    <w:name w:val="FollowedHyperlink"/>
    <w:basedOn w:val="DefaultParagraphFont"/>
    <w:uiPriority w:val="99"/>
    <w:semiHidden/>
    <w:unhideWhenUsed/>
    <w:rsid w:val="00ED35CB"/>
    <w:rPr>
      <w:color w:val="800080" w:themeColor="followedHyperlink"/>
      <w:u w:val="single"/>
    </w:rPr>
  </w:style>
  <w:style w:type="character" w:customStyle="1" w:styleId="UnresolvedMention1">
    <w:name w:val="Unresolved Mention1"/>
    <w:basedOn w:val="DefaultParagraphFont"/>
    <w:uiPriority w:val="99"/>
    <w:semiHidden/>
    <w:unhideWhenUsed/>
    <w:rsid w:val="006F7C73"/>
    <w:rPr>
      <w:color w:val="808080"/>
      <w:shd w:val="clear" w:color="auto" w:fill="E6E6E6"/>
    </w:rPr>
  </w:style>
  <w:style w:type="character" w:customStyle="1" w:styleId="Heading1Char">
    <w:name w:val="Heading 1 Char"/>
    <w:basedOn w:val="DefaultParagraphFont"/>
    <w:link w:val="Heading1"/>
    <w:uiPriority w:val="9"/>
    <w:rsid w:val="00CA4194"/>
    <w:rPr>
      <w:rFonts w:asciiTheme="majorHAnsi" w:eastAsiaTheme="majorEastAsia" w:hAnsiTheme="majorHAnsi" w:cstheme="majorBidi"/>
      <w:b/>
      <w:bCs/>
      <w:color w:val="345A8A" w:themeColor="accent1" w:themeShade="B5"/>
      <w:sz w:val="32"/>
      <w:szCs w:val="32"/>
    </w:rPr>
  </w:style>
  <w:style w:type="character" w:customStyle="1" w:styleId="current-selection">
    <w:name w:val="current-selection"/>
    <w:rsid w:val="00822906"/>
  </w:style>
  <w:style w:type="character" w:customStyle="1" w:styleId="a">
    <w:name w:val="_"/>
    <w:rsid w:val="00822906"/>
  </w:style>
  <w:style w:type="character" w:styleId="Strong">
    <w:name w:val="Strong"/>
    <w:qFormat/>
    <w:rsid w:val="00BF4124"/>
    <w:rPr>
      <w:b/>
      <w:bCs/>
    </w:rPr>
  </w:style>
  <w:style w:type="character" w:customStyle="1" w:styleId="ff9">
    <w:name w:val="ff9"/>
    <w:rsid w:val="00BF4124"/>
  </w:style>
  <w:style w:type="paragraph" w:customStyle="1" w:styleId="BodyA">
    <w:name w:val="Body A"/>
    <w:rsid w:val="001A7AD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table" w:customStyle="1" w:styleId="TableGrid1">
    <w:name w:val="Table Grid1"/>
    <w:basedOn w:val="TableNormal"/>
    <w:next w:val="TableGrid"/>
    <w:uiPriority w:val="59"/>
    <w:rsid w:val="00111ED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F457E"/>
    <w:rPr>
      <w:color w:val="808080"/>
      <w:shd w:val="clear" w:color="auto" w:fill="E6E6E6"/>
    </w:rPr>
  </w:style>
  <w:style w:type="character" w:customStyle="1" w:styleId="Heading3Char">
    <w:name w:val="Heading 3 Char"/>
    <w:basedOn w:val="DefaultParagraphFont"/>
    <w:link w:val="Heading3"/>
    <w:uiPriority w:val="9"/>
    <w:semiHidden/>
    <w:rsid w:val="00DA448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DA4487"/>
    <w:rPr>
      <w:rFonts w:asciiTheme="majorHAnsi" w:eastAsiaTheme="majorEastAsia" w:hAnsiTheme="majorHAnsi" w:cstheme="majorBidi"/>
      <w:b/>
      <w:bCs/>
      <w:i/>
      <w:iCs/>
      <w:color w:val="4F81BD" w:themeColor="accent1"/>
      <w:sz w:val="24"/>
    </w:rPr>
  </w:style>
  <w:style w:type="table" w:customStyle="1" w:styleId="TableGrid2">
    <w:name w:val="Table Grid2"/>
    <w:basedOn w:val="TableNormal"/>
    <w:next w:val="TableGrid"/>
    <w:uiPriority w:val="59"/>
    <w:rsid w:val="008C54B9"/>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E91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383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AB3832"/>
    <w:rPr>
      <w:sz w:val="20"/>
      <w:szCs w:val="20"/>
    </w:rPr>
  </w:style>
  <w:style w:type="character" w:customStyle="1" w:styleId="EndnoteTextChar">
    <w:name w:val="Endnote Text Char"/>
    <w:basedOn w:val="DefaultParagraphFont"/>
    <w:link w:val="EndnoteText"/>
    <w:uiPriority w:val="99"/>
    <w:semiHidden/>
    <w:rsid w:val="00AB3832"/>
    <w:rPr>
      <w:sz w:val="20"/>
      <w:szCs w:val="20"/>
    </w:rPr>
  </w:style>
  <w:style w:type="character" w:styleId="EndnoteReference">
    <w:name w:val="endnote reference"/>
    <w:basedOn w:val="DefaultParagraphFont"/>
    <w:uiPriority w:val="99"/>
    <w:semiHidden/>
    <w:unhideWhenUsed/>
    <w:rsid w:val="00AB3832"/>
    <w:rPr>
      <w:vertAlign w:val="superscript"/>
    </w:rPr>
  </w:style>
  <w:style w:type="character" w:customStyle="1" w:styleId="UnresolvedMention3">
    <w:name w:val="Unresolved Mention3"/>
    <w:basedOn w:val="DefaultParagraphFont"/>
    <w:uiPriority w:val="99"/>
    <w:semiHidden/>
    <w:unhideWhenUsed/>
    <w:rsid w:val="002C2727"/>
    <w:rPr>
      <w:color w:val="808080"/>
      <w:shd w:val="clear" w:color="auto" w:fill="E6E6E6"/>
    </w:rPr>
  </w:style>
  <w:style w:type="character" w:customStyle="1" w:styleId="UnresolvedMention">
    <w:name w:val="Unresolved Mention"/>
    <w:basedOn w:val="DefaultParagraphFont"/>
    <w:uiPriority w:val="99"/>
    <w:semiHidden/>
    <w:unhideWhenUsed/>
    <w:rsid w:val="00975C87"/>
    <w:rPr>
      <w:color w:val="605E5C"/>
      <w:shd w:val="clear" w:color="auto" w:fill="E1DFDD"/>
    </w:rPr>
  </w:style>
  <w:style w:type="paragraph" w:customStyle="1" w:styleId="xmsonormal">
    <w:name w:val="x_msonormal"/>
    <w:basedOn w:val="Normal"/>
    <w:rsid w:val="00E01E9A"/>
    <w:rPr>
      <w:rFonts w:ascii="Calibri" w:eastAsia="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AE"/>
    <w:pPr>
      <w:spacing w:after="0" w:line="240" w:lineRule="auto"/>
    </w:pPr>
  </w:style>
  <w:style w:type="paragraph" w:styleId="Heading1">
    <w:name w:val="heading 1"/>
    <w:basedOn w:val="Normal"/>
    <w:next w:val="Normal"/>
    <w:link w:val="Heading1Char"/>
    <w:uiPriority w:val="9"/>
    <w:qFormat/>
    <w:rsid w:val="00CA4194"/>
    <w:pPr>
      <w:keepNext/>
      <w:keepLines/>
      <w:spacing w:before="480"/>
      <w:jc w:val="both"/>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DA44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44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E81872"/>
    <w:rPr>
      <w:rFonts w:ascii="Tahoma" w:hAnsi="Tahoma" w:cs="Tahoma"/>
      <w:sz w:val="16"/>
      <w:szCs w:val="16"/>
    </w:rPr>
  </w:style>
  <w:style w:type="character" w:customStyle="1" w:styleId="BalloonTextChar">
    <w:name w:val="Balloon Text Char"/>
    <w:basedOn w:val="DefaultParagraphFont"/>
    <w:link w:val="BalloonText"/>
    <w:uiPriority w:val="99"/>
    <w:semiHidden/>
    <w:rsid w:val="00E81872"/>
    <w:rPr>
      <w:rFonts w:ascii="Tahoma" w:hAnsi="Tahoma" w:cs="Tahoma"/>
      <w:sz w:val="16"/>
      <w:szCs w:val="16"/>
    </w:rPr>
  </w:style>
  <w:style w:type="table" w:styleId="TableGrid">
    <w:name w:val="Table Grid"/>
    <w:basedOn w:val="TableNormal"/>
    <w:uiPriority w:val="59"/>
    <w:rsid w:val="00E81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3AF"/>
    <w:pPr>
      <w:ind w:left="720"/>
      <w:contextualSpacing/>
    </w:pPr>
  </w:style>
  <w:style w:type="character" w:styleId="Hyperlink">
    <w:name w:val="Hyperlink"/>
    <w:basedOn w:val="DefaultParagraphFont"/>
    <w:uiPriority w:val="99"/>
    <w:unhideWhenUsed/>
    <w:rsid w:val="00A66AC6"/>
    <w:rPr>
      <w:color w:val="0000FF" w:themeColor="hyperlink"/>
      <w:u w:val="single"/>
    </w:rPr>
  </w:style>
  <w:style w:type="character" w:styleId="FollowedHyperlink">
    <w:name w:val="FollowedHyperlink"/>
    <w:basedOn w:val="DefaultParagraphFont"/>
    <w:uiPriority w:val="99"/>
    <w:semiHidden/>
    <w:unhideWhenUsed/>
    <w:rsid w:val="00ED35CB"/>
    <w:rPr>
      <w:color w:val="800080" w:themeColor="followedHyperlink"/>
      <w:u w:val="single"/>
    </w:rPr>
  </w:style>
  <w:style w:type="character" w:customStyle="1" w:styleId="UnresolvedMention1">
    <w:name w:val="Unresolved Mention1"/>
    <w:basedOn w:val="DefaultParagraphFont"/>
    <w:uiPriority w:val="99"/>
    <w:semiHidden/>
    <w:unhideWhenUsed/>
    <w:rsid w:val="006F7C73"/>
    <w:rPr>
      <w:color w:val="808080"/>
      <w:shd w:val="clear" w:color="auto" w:fill="E6E6E6"/>
    </w:rPr>
  </w:style>
  <w:style w:type="character" w:customStyle="1" w:styleId="Heading1Char">
    <w:name w:val="Heading 1 Char"/>
    <w:basedOn w:val="DefaultParagraphFont"/>
    <w:link w:val="Heading1"/>
    <w:uiPriority w:val="9"/>
    <w:rsid w:val="00CA4194"/>
    <w:rPr>
      <w:rFonts w:asciiTheme="majorHAnsi" w:eastAsiaTheme="majorEastAsia" w:hAnsiTheme="majorHAnsi" w:cstheme="majorBidi"/>
      <w:b/>
      <w:bCs/>
      <w:color w:val="345A8A" w:themeColor="accent1" w:themeShade="B5"/>
      <w:sz w:val="32"/>
      <w:szCs w:val="32"/>
    </w:rPr>
  </w:style>
  <w:style w:type="character" w:customStyle="1" w:styleId="current-selection">
    <w:name w:val="current-selection"/>
    <w:rsid w:val="00822906"/>
  </w:style>
  <w:style w:type="character" w:customStyle="1" w:styleId="a">
    <w:name w:val="_"/>
    <w:rsid w:val="00822906"/>
  </w:style>
  <w:style w:type="character" w:styleId="Strong">
    <w:name w:val="Strong"/>
    <w:qFormat/>
    <w:rsid w:val="00BF4124"/>
    <w:rPr>
      <w:b/>
      <w:bCs/>
    </w:rPr>
  </w:style>
  <w:style w:type="character" w:customStyle="1" w:styleId="ff9">
    <w:name w:val="ff9"/>
    <w:rsid w:val="00BF4124"/>
  </w:style>
  <w:style w:type="paragraph" w:customStyle="1" w:styleId="BodyA">
    <w:name w:val="Body A"/>
    <w:rsid w:val="001A7AD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table" w:customStyle="1" w:styleId="TableGrid1">
    <w:name w:val="Table Grid1"/>
    <w:basedOn w:val="TableNormal"/>
    <w:next w:val="TableGrid"/>
    <w:uiPriority w:val="59"/>
    <w:rsid w:val="00111ED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F457E"/>
    <w:rPr>
      <w:color w:val="808080"/>
      <w:shd w:val="clear" w:color="auto" w:fill="E6E6E6"/>
    </w:rPr>
  </w:style>
  <w:style w:type="character" w:customStyle="1" w:styleId="Heading3Char">
    <w:name w:val="Heading 3 Char"/>
    <w:basedOn w:val="DefaultParagraphFont"/>
    <w:link w:val="Heading3"/>
    <w:uiPriority w:val="9"/>
    <w:semiHidden/>
    <w:rsid w:val="00DA448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DA4487"/>
    <w:rPr>
      <w:rFonts w:asciiTheme="majorHAnsi" w:eastAsiaTheme="majorEastAsia" w:hAnsiTheme="majorHAnsi" w:cstheme="majorBidi"/>
      <w:b/>
      <w:bCs/>
      <w:i/>
      <w:iCs/>
      <w:color w:val="4F81BD" w:themeColor="accent1"/>
      <w:sz w:val="24"/>
    </w:rPr>
  </w:style>
  <w:style w:type="table" w:customStyle="1" w:styleId="TableGrid2">
    <w:name w:val="Table Grid2"/>
    <w:basedOn w:val="TableNormal"/>
    <w:next w:val="TableGrid"/>
    <w:uiPriority w:val="59"/>
    <w:rsid w:val="008C54B9"/>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E91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383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AB3832"/>
    <w:rPr>
      <w:sz w:val="20"/>
      <w:szCs w:val="20"/>
    </w:rPr>
  </w:style>
  <w:style w:type="character" w:customStyle="1" w:styleId="EndnoteTextChar">
    <w:name w:val="Endnote Text Char"/>
    <w:basedOn w:val="DefaultParagraphFont"/>
    <w:link w:val="EndnoteText"/>
    <w:uiPriority w:val="99"/>
    <w:semiHidden/>
    <w:rsid w:val="00AB3832"/>
    <w:rPr>
      <w:sz w:val="20"/>
      <w:szCs w:val="20"/>
    </w:rPr>
  </w:style>
  <w:style w:type="character" w:styleId="EndnoteReference">
    <w:name w:val="endnote reference"/>
    <w:basedOn w:val="DefaultParagraphFont"/>
    <w:uiPriority w:val="99"/>
    <w:semiHidden/>
    <w:unhideWhenUsed/>
    <w:rsid w:val="00AB3832"/>
    <w:rPr>
      <w:vertAlign w:val="superscript"/>
    </w:rPr>
  </w:style>
  <w:style w:type="character" w:customStyle="1" w:styleId="UnresolvedMention3">
    <w:name w:val="Unresolved Mention3"/>
    <w:basedOn w:val="DefaultParagraphFont"/>
    <w:uiPriority w:val="99"/>
    <w:semiHidden/>
    <w:unhideWhenUsed/>
    <w:rsid w:val="002C2727"/>
    <w:rPr>
      <w:color w:val="808080"/>
      <w:shd w:val="clear" w:color="auto" w:fill="E6E6E6"/>
    </w:rPr>
  </w:style>
  <w:style w:type="character" w:customStyle="1" w:styleId="UnresolvedMention">
    <w:name w:val="Unresolved Mention"/>
    <w:basedOn w:val="DefaultParagraphFont"/>
    <w:uiPriority w:val="99"/>
    <w:semiHidden/>
    <w:unhideWhenUsed/>
    <w:rsid w:val="00975C87"/>
    <w:rPr>
      <w:color w:val="605E5C"/>
      <w:shd w:val="clear" w:color="auto" w:fill="E1DFDD"/>
    </w:rPr>
  </w:style>
  <w:style w:type="paragraph" w:customStyle="1" w:styleId="xmsonormal">
    <w:name w:val="x_msonormal"/>
    <w:basedOn w:val="Normal"/>
    <w:rsid w:val="00E01E9A"/>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558181">
      <w:bodyDiv w:val="1"/>
      <w:marLeft w:val="0"/>
      <w:marRight w:val="0"/>
      <w:marTop w:val="0"/>
      <w:marBottom w:val="0"/>
      <w:divBdr>
        <w:top w:val="none" w:sz="0" w:space="0" w:color="auto"/>
        <w:left w:val="none" w:sz="0" w:space="0" w:color="auto"/>
        <w:bottom w:val="none" w:sz="0" w:space="0" w:color="auto"/>
        <w:right w:val="none" w:sz="0" w:space="0" w:color="auto"/>
      </w:divBdr>
    </w:div>
    <w:div w:id="1923178430">
      <w:bodyDiv w:val="1"/>
      <w:marLeft w:val="0"/>
      <w:marRight w:val="0"/>
      <w:marTop w:val="0"/>
      <w:marBottom w:val="0"/>
      <w:divBdr>
        <w:top w:val="none" w:sz="0" w:space="0" w:color="auto"/>
        <w:left w:val="none" w:sz="0" w:space="0" w:color="auto"/>
        <w:bottom w:val="none" w:sz="0" w:space="0" w:color="auto"/>
        <w:right w:val="none" w:sz="0" w:space="0" w:color="auto"/>
      </w:divBdr>
    </w:div>
    <w:div w:id="200632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mc-uk.org/ethical-guidance/ethical-guidance-for-doctors/confidentiality---reporting-gunshot-and-knife-wounds"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www.sheffieldchildrens.nhs.uk/embrace/" TargetMode="External"/><Relationship Id="rId4" Type="http://schemas.microsoft.com/office/2007/relationships/stylesWithEffects" Target="stylesWithEffects.xml"/><Relationship Id="rId9" Type="http://schemas.openxmlformats.org/officeDocument/2006/relationships/hyperlink" Target="https://www.wymtn.com/uploads/5/1/8/9/51899421/abdominal_trauma_-_paediatric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1AA9D-DA23-4FDF-B5C0-0BE36385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3146</Words>
  <Characters>17933</Characters>
  <Application>Microsoft Office Word</Application>
  <DocSecurity>6</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21037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Cooper</dc:creator>
  <cp:lastModifiedBy>Tina Wall</cp:lastModifiedBy>
  <cp:revision>2</cp:revision>
  <cp:lastPrinted>2018-05-02T12:53:00Z</cp:lastPrinted>
  <dcterms:created xsi:type="dcterms:W3CDTF">2021-03-27T11:42:00Z</dcterms:created>
  <dcterms:modified xsi:type="dcterms:W3CDTF">2021-03-27T11:42:00Z</dcterms:modified>
</cp:coreProperties>
</file>